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13"/>
          <w:position w:val="1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3"/>
          <w:position w:val="15"/>
          <w:sz w:val="44"/>
          <w:szCs w:val="44"/>
        </w:rPr>
        <w:t>关于组织开展2023年度杭州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3"/>
          <w:position w:val="15"/>
          <w:sz w:val="44"/>
          <w:szCs w:val="44"/>
          <w:lang w:eastAsia="zh-CN"/>
        </w:rPr>
        <w:t>高新区（滨江）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20" w:lineRule="exact"/>
        <w:ind w:left="106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3"/>
          <w:position w:val="15"/>
          <w:sz w:val="44"/>
          <w:szCs w:val="44"/>
        </w:rPr>
        <w:t>总部企业认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3"/>
          <w:position w:val="15"/>
          <w:sz w:val="44"/>
          <w:szCs w:val="44"/>
          <w:lang w:eastAsia="zh-CN"/>
        </w:rPr>
        <w:t>定工作的通知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为进一步发挥总部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经济社会全面高质量发展中的牵引带动作用，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根据《关于推动杭州高新开发区（滨江）总部经济高质量发展的若干意见》(区办〔2023〕12号)要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决定组织开展2023年度杭州高新区（滨江）总部企业认定工作，现将有关事项通知如下：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具有独立法人资格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符合高新区（滨江）产业发展导向，工商登记、税务登记和统计关系均在本区，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</w:rPr>
        <w:t>对一定区域内的控股企业或分支机构行使总部职能的独立法人企业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合以下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类型条件之一的，即可认定为总部企业。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（一）规模型总部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工业总部：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上年度营业收入10亿元以上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服务业总部：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shd w:val="pct10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（1）信息传输、软件和信息技术服务业总部：上年度营业收入10亿元以上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shd w:val="pct10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（2）商务服务业总部：上年度营业收入2亿元以上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的会计师事务所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律师事务所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上年度营业收入10亿元以上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的其他企业。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shd w:val="pct10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（3）科技服务、文化、体育等其他总部：上年度营业收入8亿元以上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shd w:val="pct10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（4）销售型总部：上年度营业收入20亿元以上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pct10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（5）金融业总部：经国家金融监管部门批准，具有独立法人资格的金融机构，上年度营业收入10亿元以上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  <w:t>（二）研发型总部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具备完善的研究、开发、实验条件并具有稳定的研发经费来源，上年度在高新区（滨江）研发费用投入不低于5000万元且占在高新区（滨江）营业收入（销售收入）比例不低于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15%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  <w:t>（三）上市企业总部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符合基本条件，在境内外各大交易所上市，且上市主体在高新区（滨江）的企业。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  <w:t>（四）其他总部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符合区产业发展战略，具有重大产业支撑作用或科技引领作用的企业，经签署协议后予以认定。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二、申报及核算口径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（一）申报口径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集团母公司在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高新区（滨江）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内注册的，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原则上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以集团母公司作为申报主体；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集团母公司在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高新区（滨江）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外注册的，以在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最高一级控股子公司为申报主体。在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设立多个一级控股子公司的，可由集团母公司指定其中一家子公司作为申报主体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合并申报或由单家一级控股子公司独立申报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spacing w:val="0"/>
          <w:kern w:val="0"/>
          <w:sz w:val="32"/>
          <w:szCs w:val="32"/>
        </w:rPr>
        <w:t>核算口径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总部企业认定涉及的指标数据，均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须体现在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高新区（滨江）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。具体是指申报主体在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高新区（滨江）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内成员企业上年度纳入我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统一核算的营业收入、研发费用投入等经营数据，不包含房地产开发经营收入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，区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内成员企业须为规模以上企业，包括以下类型：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申报主体；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申报主体的在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控股企业；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可合并申报的集团在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成员企业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即集团母公司在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外注册，由集团母公司控股并授权申报主体合并申报的在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一级公司及其控股企业；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</w:rPr>
        <w:t>研究确定的其他关联企业。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三、认定程序和材料要求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企业申报。即日起至2023年11月15日期间，企业按要求填报申报信息资料（详见附件），提交相关材料至属地街道、平台。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属地初审。各街道、平台对总部企业申报材料进行初步审核，并将审核结果及相关资料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汇总至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区总部办。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部门复审。区总部办会同区级有关部门，对企业申报材料进行复审。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公示公布。复审通过企业名单在“滨江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发展和改革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”等公众号平台进行公示。公示期无异议的，履行相关程序后，予以公开发布。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四、有关工作要求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加强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政策宣贯。各街道、平台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总部企业申报和政策宣贯服务，动员符合条件的企业积极申报。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加强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审核指导。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区级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相关部门按照职责分工严格审核把关，确保总部企业申报工作顺利完成。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加强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咨询服务。申报期间，做好企业政策业务咨询解答。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区总部办       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89520411、89520412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西兴街道办事处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89521874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长河街道办事处 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89521966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浦沿街道办事处 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86615816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白马湖生态创意城管委会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87774520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江北发展服务办公室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88217860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智慧新天地发展服务中心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56971822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物联网产业园发展服务中心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88302263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互联网产业园发展服务中心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87696015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附件：总部企业申报材料清单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杭州高新区（滨江）总部经济发展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 xml:space="preserve">                    2023年10月2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日</w:t>
      </w:r>
    </w:p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总部企业申报材料清单</w:t>
      </w:r>
    </w:p>
    <w:p>
      <w:pPr>
        <w:widowControl/>
        <w:spacing w:line="64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Hlk125812049"/>
    </w:p>
    <w:p>
      <w:pPr>
        <w:widowControl/>
        <w:numPr>
          <w:ilvl w:val="0"/>
          <w:numId w:val="2"/>
        </w:numPr>
        <w:spacing w:line="64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2023年度杭州高新区（滨江）总部企业认定申请表（附件1-1）</w:t>
      </w:r>
    </w:p>
    <w:p>
      <w:pPr>
        <w:widowControl/>
        <w:numPr>
          <w:ilvl w:val="0"/>
          <w:numId w:val="2"/>
        </w:numPr>
        <w:spacing w:line="640" w:lineRule="atLeas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2023年度杭州高新区（滨江）总部企业下属企业汇总表（附件1-2）</w:t>
      </w:r>
    </w:p>
    <w:p>
      <w:pPr>
        <w:widowControl/>
        <w:numPr>
          <w:ilvl w:val="0"/>
          <w:numId w:val="2"/>
        </w:numPr>
        <w:spacing w:line="640" w:lineRule="atLeas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申报主体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及其子公司、分公司（包括区内、区外）的营业执照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、分支机构相关证明</w:t>
      </w:r>
      <w:bookmarkStart w:id="1" w:name="_GoBack"/>
      <w:bookmarkEnd w:id="1"/>
    </w:p>
    <w:p>
      <w:pPr>
        <w:widowControl/>
        <w:numPr>
          <w:ilvl w:val="0"/>
          <w:numId w:val="2"/>
        </w:numPr>
        <w:spacing w:line="640" w:lineRule="atLeas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申报主体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及其子公司（包括区内、区外）的股权架构图和实际控制关系说明</w:t>
      </w:r>
    </w:p>
    <w:p>
      <w:pPr>
        <w:widowControl/>
        <w:numPr>
          <w:ilvl w:val="0"/>
          <w:numId w:val="2"/>
        </w:numPr>
        <w:spacing w:line="640" w:lineRule="atLeas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申报授权书（附件1-3）</w:t>
      </w:r>
    </w:p>
    <w:bookmarkEnd w:id="0"/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widowControl/>
        <w:spacing w:line="640" w:lineRule="atLeas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以上材料均须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纸质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盖章上报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（一份），同时报送电子版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219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B1D67"/>
    <w:multiLevelType w:val="singleLevel"/>
    <w:tmpl w:val="D43B1D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B1BC69"/>
    <w:multiLevelType w:val="singleLevel"/>
    <w:tmpl w:val="2DB1BC6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TYxZGRhN2M3OWU3MjQyYWViMTc3MWYwNGNhNTcifQ=="/>
  </w:docVars>
  <w:rsids>
    <w:rsidRoot w:val="56411247"/>
    <w:rsid w:val="02497534"/>
    <w:rsid w:val="02ED4668"/>
    <w:rsid w:val="03E04EDD"/>
    <w:rsid w:val="04223B99"/>
    <w:rsid w:val="053E348E"/>
    <w:rsid w:val="066E30C6"/>
    <w:rsid w:val="06E26BB5"/>
    <w:rsid w:val="06EE06AA"/>
    <w:rsid w:val="09900DEB"/>
    <w:rsid w:val="0D9352C6"/>
    <w:rsid w:val="0EA24254"/>
    <w:rsid w:val="0F652962"/>
    <w:rsid w:val="0F7C3C77"/>
    <w:rsid w:val="0F931C0F"/>
    <w:rsid w:val="1030763E"/>
    <w:rsid w:val="10EA0134"/>
    <w:rsid w:val="19DD0836"/>
    <w:rsid w:val="1C5D5C5E"/>
    <w:rsid w:val="22252D7A"/>
    <w:rsid w:val="23A25897"/>
    <w:rsid w:val="25B52012"/>
    <w:rsid w:val="26311FEB"/>
    <w:rsid w:val="294D321E"/>
    <w:rsid w:val="2A4C31DA"/>
    <w:rsid w:val="2A9F7442"/>
    <w:rsid w:val="2B2C7062"/>
    <w:rsid w:val="2EDC352E"/>
    <w:rsid w:val="2F824F24"/>
    <w:rsid w:val="37A8202C"/>
    <w:rsid w:val="3A477E85"/>
    <w:rsid w:val="3B3B31B7"/>
    <w:rsid w:val="3EC05EAD"/>
    <w:rsid w:val="3F6F7FAE"/>
    <w:rsid w:val="41B7002F"/>
    <w:rsid w:val="437B7DBF"/>
    <w:rsid w:val="43AD6B38"/>
    <w:rsid w:val="46024FFD"/>
    <w:rsid w:val="46546532"/>
    <w:rsid w:val="481E1E96"/>
    <w:rsid w:val="4AD010C5"/>
    <w:rsid w:val="4CA26BF2"/>
    <w:rsid w:val="4E387F47"/>
    <w:rsid w:val="50091D29"/>
    <w:rsid w:val="527D78BF"/>
    <w:rsid w:val="52B07B8F"/>
    <w:rsid w:val="52C1291E"/>
    <w:rsid w:val="55AA2FBB"/>
    <w:rsid w:val="56411247"/>
    <w:rsid w:val="57995B08"/>
    <w:rsid w:val="57DD1426"/>
    <w:rsid w:val="5BFB1E7B"/>
    <w:rsid w:val="5E07753A"/>
    <w:rsid w:val="5F041C45"/>
    <w:rsid w:val="63F658A9"/>
    <w:rsid w:val="64346872"/>
    <w:rsid w:val="658E3D60"/>
    <w:rsid w:val="664675B7"/>
    <w:rsid w:val="67A96C2F"/>
    <w:rsid w:val="68222CAD"/>
    <w:rsid w:val="6D4A4A10"/>
    <w:rsid w:val="6EC10D02"/>
    <w:rsid w:val="714B28CE"/>
    <w:rsid w:val="7186296C"/>
    <w:rsid w:val="72455AFF"/>
    <w:rsid w:val="734923AE"/>
    <w:rsid w:val="744509BB"/>
    <w:rsid w:val="745E0873"/>
    <w:rsid w:val="747B20A0"/>
    <w:rsid w:val="74C652C4"/>
    <w:rsid w:val="75543C54"/>
    <w:rsid w:val="761A519B"/>
    <w:rsid w:val="7A7830A3"/>
    <w:rsid w:val="7B1623D5"/>
    <w:rsid w:val="7B9E5642"/>
    <w:rsid w:val="7C646533"/>
    <w:rsid w:val="7E4521C3"/>
    <w:rsid w:val="FFE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line="360" w:lineRule="auto"/>
      <w:ind w:left="200" w:leftChars="200"/>
    </w:pPr>
    <w:rPr>
      <w:rFonts w:hAnsi="等线" w:eastAsia="仿宋_GB2312"/>
      <w:color w:val="000000"/>
    </w:rPr>
  </w:style>
  <w:style w:type="paragraph" w:styleId="3">
    <w:name w:val="index 4"/>
    <w:next w:val="1"/>
    <w:qFormat/>
    <w:uiPriority w:val="0"/>
    <w:pPr>
      <w:widowControl w:val="0"/>
      <w:adjustRightInd w:val="0"/>
      <w:snapToGrid w:val="0"/>
      <w:spacing w:line="360" w:lineRule="auto"/>
      <w:ind w:left="1260" w:firstLine="200" w:firstLineChars="200"/>
      <w:jc w:val="both"/>
    </w:pPr>
    <w:rPr>
      <w:rFonts w:ascii="Calibri" w:hAnsi="Calibri" w:eastAsia="宋体" w:cs="Times New Roman"/>
      <w:kern w:val="2"/>
      <w:sz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2"/>
    <w:qFormat/>
    <w:uiPriority w:val="0"/>
    <w:pPr>
      <w:spacing w:line="240" w:lineRule="auto"/>
      <w:ind w:firstLine="200" w:firstLineChars="200"/>
    </w:pPr>
    <w:rPr>
      <w:rFonts w:hAnsi="Times New Roman"/>
      <w:color w:val="auto"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2023-10-20T16:18:00Z</dcterms:created>
  <dc:creator>毛薇</dc:creator>
  <cp:lastModifiedBy>毛薇</cp:lastModifiedBy>
  <cp:lastPrinted>2023-10-26T13:02:00Z</cp:lastPrinted>
  <dcterms:modified xsi:type="dcterms:W3CDTF">2023-10-31T03:11:46Z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167726BD22974E31B27CE650DB342438_11</vt:lpwstr>
  </property>
</Properties>
</file>