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i w:val="0"/>
          <w:iCs w:val="0"/>
          <w:sz w:val="36"/>
          <w:szCs w:val="36"/>
          <w:lang w:eastAsia="zh-CN"/>
        </w:rPr>
      </w:pPr>
    </w:p>
    <w:p>
      <w:pPr>
        <w:spacing w:line="360" w:lineRule="auto"/>
        <w:jc w:val="center"/>
        <w:rPr>
          <w:rFonts w:ascii="黑体" w:hAnsi="黑体" w:eastAsia="黑体" w:cs="黑体"/>
          <w:i w:val="0"/>
          <w:iCs w:val="0"/>
          <w:sz w:val="44"/>
          <w:szCs w:val="44"/>
        </w:rPr>
      </w:pPr>
      <w:r>
        <w:rPr>
          <w:rFonts w:hint="eastAsia" w:ascii="黑体" w:hAnsi="黑体" w:eastAsia="黑体" w:cs="黑体"/>
          <w:i w:val="0"/>
          <w:iCs w:val="0"/>
          <w:sz w:val="44"/>
          <w:szCs w:val="44"/>
        </w:rPr>
        <w:t>关于推进人工智能创新发展区建设的实施意见</w:t>
      </w:r>
    </w:p>
    <w:p>
      <w:pPr>
        <w:adjustRightInd w:val="0"/>
        <w:snapToGrid w:val="0"/>
        <w:spacing w:line="600" w:lineRule="exact"/>
        <w:ind w:firstLine="640" w:firstLineChars="200"/>
        <w:rPr>
          <w:rFonts w:hint="eastAsia" w:ascii="仿宋" w:hAnsi="仿宋" w:eastAsia="仿宋"/>
          <w:i w:val="0"/>
          <w:iCs w:val="0"/>
          <w:color w:val="000000"/>
          <w:sz w:val="32"/>
          <w:szCs w:val="32"/>
        </w:rPr>
      </w:pPr>
    </w:p>
    <w:p>
      <w:pPr>
        <w:adjustRightInd w:val="0"/>
        <w:snapToGrid w:val="0"/>
        <w:spacing w:line="600" w:lineRule="exact"/>
        <w:ind w:firstLine="640" w:firstLineChars="200"/>
        <w:rPr>
          <w:rFonts w:ascii="仿宋" w:hAnsi="仿宋" w:eastAsia="仿宋"/>
          <w:i w:val="0"/>
          <w:iCs w:val="0"/>
          <w:color w:val="000000"/>
          <w:sz w:val="30"/>
          <w:szCs w:val="30"/>
        </w:rPr>
      </w:pPr>
      <w:r>
        <w:rPr>
          <w:rFonts w:hint="eastAsia" w:ascii="仿宋" w:hAnsi="仿宋" w:eastAsia="仿宋"/>
          <w:i w:val="0"/>
          <w:iCs w:val="0"/>
          <w:color w:val="000000"/>
          <w:sz w:val="32"/>
          <w:szCs w:val="32"/>
        </w:rPr>
        <w:t>根据《杭州市建设国家新一代人工智能创新发展试验区若干政策的通知》（杭政函[2019]114号）精神，为推进我区人工智能创新发展区建设，结合我区实际，特制定本实施意见。</w:t>
      </w:r>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一、总体目标</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（一）总体要求。</w:t>
      </w:r>
      <w:r>
        <w:rPr>
          <w:rFonts w:hint="eastAsia" w:ascii="仿宋" w:hAnsi="仿宋" w:eastAsia="仿宋"/>
          <w:i w:val="0"/>
          <w:iCs w:val="0"/>
          <w:color w:val="000000"/>
          <w:sz w:val="32"/>
          <w:szCs w:val="32"/>
        </w:rPr>
        <w:t>为落实浙江省促进新一代人工智能发展行动计划和杭州</w:t>
      </w:r>
      <w:r>
        <w:rPr>
          <w:rFonts w:hint="eastAsia" w:ascii="仿宋" w:hAnsi="仿宋" w:eastAsia="仿宋"/>
          <w:i w:val="0"/>
          <w:iCs w:val="0"/>
          <w:color w:val="000000"/>
          <w:sz w:val="32"/>
          <w:szCs w:val="32"/>
          <w:lang w:eastAsia="zh-CN"/>
        </w:rPr>
        <w:t>市建设</w:t>
      </w:r>
      <w:r>
        <w:rPr>
          <w:rFonts w:hint="eastAsia" w:ascii="仿宋" w:hAnsi="仿宋" w:eastAsia="仿宋"/>
          <w:i w:val="0"/>
          <w:iCs w:val="0"/>
          <w:color w:val="000000"/>
          <w:sz w:val="32"/>
          <w:szCs w:val="32"/>
        </w:rPr>
        <w:t>国家新一代人工智能创新发展试验区要求，围绕高新区（滨江）打造数字经济和新制造业发展“双引擎”的战略目标，充分发挥高新区（滨江）数字经济发展优势，推动人工智能核心技术攻关和深度融合应用，打造新一代人工智能技术创新策源地、典型场景应用先行地和人工智能企业培育发展主阵地，建设人工智能创新发展区。</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（二）主要目标。</w:t>
      </w:r>
      <w:r>
        <w:rPr>
          <w:rFonts w:hint="eastAsia" w:ascii="仿宋" w:hAnsi="仿宋" w:eastAsia="仿宋"/>
          <w:i w:val="0"/>
          <w:iCs w:val="0"/>
          <w:color w:val="000000"/>
          <w:sz w:val="32"/>
          <w:szCs w:val="32"/>
        </w:rPr>
        <w:t>通过“人工智能+”赋能区域优势产业做大做强，鼓励与智慧安防、智慧医疗、智慧制造、智慧金融等重点产业融合发展，推动新一代人工智能示范应用和高质量发展。力争到2023年，高新区（滨江）人工智能产业营业收入突破</w:t>
      </w:r>
      <w:r>
        <w:rPr>
          <w:rFonts w:hint="eastAsia" w:ascii="仿宋" w:hAnsi="仿宋" w:eastAsia="仿宋"/>
          <w:i w:val="0"/>
          <w:iCs w:val="0"/>
          <w:color w:val="000000"/>
          <w:sz w:val="32"/>
          <w:szCs w:val="32"/>
          <w:lang w:val="en-US" w:eastAsia="zh-CN"/>
        </w:rPr>
        <w:t>1000</w:t>
      </w:r>
      <w:r>
        <w:rPr>
          <w:rFonts w:hint="eastAsia" w:ascii="仿宋" w:hAnsi="仿宋" w:eastAsia="仿宋"/>
          <w:i w:val="0"/>
          <w:iCs w:val="0"/>
          <w:color w:val="000000"/>
          <w:sz w:val="32"/>
          <w:szCs w:val="32"/>
        </w:rPr>
        <w:t>亿元，引进和培育人工智能</w:t>
      </w:r>
      <w:r>
        <w:rPr>
          <w:rFonts w:hint="eastAsia" w:ascii="仿宋" w:hAnsi="仿宋" w:eastAsia="仿宋"/>
          <w:i w:val="0"/>
          <w:iCs w:val="0"/>
          <w:color w:val="000000"/>
          <w:sz w:val="32"/>
          <w:szCs w:val="32"/>
          <w:lang w:eastAsia="zh-CN"/>
        </w:rPr>
        <w:t>上市</w:t>
      </w:r>
      <w:r>
        <w:rPr>
          <w:rFonts w:hint="eastAsia" w:ascii="仿宋" w:hAnsi="仿宋" w:eastAsia="仿宋"/>
          <w:i w:val="0"/>
          <w:iCs w:val="0"/>
          <w:color w:val="000000"/>
          <w:sz w:val="32"/>
          <w:szCs w:val="32"/>
        </w:rPr>
        <w:t>领军企业</w:t>
      </w:r>
      <w:r>
        <w:rPr>
          <w:rFonts w:hint="eastAsia" w:ascii="仿宋" w:hAnsi="仿宋" w:eastAsia="仿宋"/>
          <w:i w:val="0"/>
          <w:iCs w:val="0"/>
          <w:color w:val="000000"/>
          <w:sz w:val="32"/>
          <w:szCs w:val="32"/>
          <w:lang w:val="en-US" w:eastAsia="zh-CN"/>
        </w:rPr>
        <w:t>10</w:t>
      </w:r>
      <w:r>
        <w:rPr>
          <w:rFonts w:hint="eastAsia" w:ascii="仿宋" w:hAnsi="仿宋" w:eastAsia="仿宋"/>
          <w:i w:val="0"/>
          <w:iCs w:val="0"/>
          <w:color w:val="000000"/>
          <w:sz w:val="32"/>
          <w:szCs w:val="32"/>
        </w:rPr>
        <w:t>家，人工智能</w:t>
      </w:r>
      <w:r>
        <w:rPr>
          <w:rFonts w:hint="eastAsia" w:ascii="仿宋" w:hAnsi="仿宋" w:eastAsia="仿宋"/>
          <w:i w:val="0"/>
          <w:iCs w:val="0"/>
          <w:color w:val="000000"/>
          <w:sz w:val="32"/>
          <w:szCs w:val="32"/>
          <w:lang w:eastAsia="zh-CN"/>
        </w:rPr>
        <w:t>解决方案（产品、技术）</w:t>
      </w:r>
      <w:r>
        <w:rPr>
          <w:rFonts w:hint="eastAsia" w:ascii="仿宋" w:hAnsi="仿宋" w:eastAsia="仿宋"/>
          <w:i w:val="0"/>
          <w:iCs w:val="0"/>
          <w:color w:val="000000"/>
          <w:sz w:val="32"/>
          <w:szCs w:val="32"/>
          <w:lang w:val="en-US" w:eastAsia="zh-CN"/>
        </w:rPr>
        <w:t>30项，人工智能高新技术企业200家</w:t>
      </w:r>
      <w:r>
        <w:rPr>
          <w:rFonts w:hint="eastAsia" w:ascii="仿宋" w:hAnsi="仿宋" w:eastAsia="仿宋"/>
          <w:i w:val="0"/>
          <w:iCs w:val="0"/>
          <w:color w:val="000000"/>
          <w:sz w:val="32"/>
          <w:szCs w:val="32"/>
        </w:rPr>
        <w:t>；力争到2025年，人工智能产业营业收入达到</w:t>
      </w:r>
      <w:r>
        <w:rPr>
          <w:rFonts w:hint="eastAsia" w:ascii="仿宋" w:hAnsi="仿宋" w:eastAsia="仿宋"/>
          <w:i w:val="0"/>
          <w:iCs w:val="0"/>
          <w:color w:val="000000"/>
          <w:sz w:val="32"/>
          <w:szCs w:val="32"/>
          <w:lang w:val="en-US" w:eastAsia="zh-CN"/>
        </w:rPr>
        <w:t>20</w:t>
      </w:r>
      <w:r>
        <w:rPr>
          <w:rFonts w:hint="eastAsia" w:ascii="仿宋" w:hAnsi="仿宋" w:eastAsia="仿宋"/>
          <w:i w:val="0"/>
          <w:iCs w:val="0"/>
          <w:color w:val="000000"/>
          <w:sz w:val="32"/>
          <w:szCs w:val="32"/>
        </w:rPr>
        <w:t>00亿元，成为全国领先的人工智能产业发展高地。</w:t>
      </w:r>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二、主要任务</w:t>
      </w:r>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（一）产业发展重点</w:t>
      </w:r>
    </w:p>
    <w:p>
      <w:pPr>
        <w:adjustRightInd w:val="0"/>
        <w:snapToGrid w:val="0"/>
        <w:spacing w:line="600" w:lineRule="exact"/>
        <w:ind w:firstLine="643" w:firstLineChars="200"/>
        <w:rPr>
          <w:i w:val="0"/>
          <w:iCs w:val="0"/>
          <w:sz w:val="32"/>
          <w:szCs w:val="32"/>
        </w:rPr>
      </w:pPr>
      <w:r>
        <w:rPr>
          <w:rFonts w:hint="eastAsia" w:ascii="仿宋" w:hAnsi="仿宋" w:eastAsia="仿宋"/>
          <w:b/>
          <w:bCs/>
          <w:i w:val="0"/>
          <w:iCs w:val="0"/>
          <w:color w:val="000000"/>
          <w:sz w:val="32"/>
          <w:szCs w:val="32"/>
        </w:rPr>
        <w:t>1.智能芯片及传感器。</w:t>
      </w:r>
      <w:r>
        <w:rPr>
          <w:rFonts w:hint="eastAsia" w:ascii="仿宋" w:hAnsi="仿宋" w:eastAsia="仿宋"/>
          <w:i w:val="0"/>
          <w:iCs w:val="0"/>
          <w:color w:val="000000"/>
          <w:sz w:val="32"/>
          <w:szCs w:val="32"/>
        </w:rPr>
        <w:t>开展针对智慧安防、智慧医疗垂直应用场景的专用人工智能芯片的研发和产业化。聚焦高端芯片，支持视觉语义建模、视觉对象时空定位与搜索等关联技术研发，以及指纹、虹膜等生物特征识别技术研发，加强光电传感器、图像传感器、激光雷达、力学传感器等传感器关键技术突破。</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2.智能操作系统和基础软件。</w:t>
      </w:r>
      <w:r>
        <w:rPr>
          <w:rFonts w:hint="eastAsia" w:ascii="仿宋" w:hAnsi="仿宋" w:eastAsia="仿宋"/>
          <w:i w:val="0"/>
          <w:iCs w:val="0"/>
          <w:color w:val="000000"/>
          <w:sz w:val="32"/>
          <w:szCs w:val="32"/>
        </w:rPr>
        <w:t>支持围绕智能机器人、智慧安防、无人驾驶系统等开展开源软硬件系统、中间件、编译库等底层技术研发。加快发展以自动控制与感知技术、核心工业软硬件、工业互联网、工业云和智能服务平台为核心的工业自主软件技术体系，加快形成智能操作系统的研发和产业化应用。</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3.智能核心算法。</w:t>
      </w:r>
      <w:r>
        <w:rPr>
          <w:rFonts w:hint="eastAsia" w:ascii="仿宋" w:hAnsi="仿宋" w:eastAsia="仿宋"/>
          <w:i w:val="0"/>
          <w:iCs w:val="0"/>
          <w:color w:val="000000"/>
          <w:sz w:val="32"/>
          <w:szCs w:val="32"/>
        </w:rPr>
        <w:t>加强</w:t>
      </w:r>
      <w:r>
        <w:rPr>
          <w:rFonts w:ascii="仿宋" w:hAnsi="仿宋" w:eastAsia="仿宋"/>
          <w:i w:val="0"/>
          <w:iCs w:val="0"/>
          <w:color w:val="000000"/>
          <w:sz w:val="32"/>
          <w:szCs w:val="32"/>
        </w:rPr>
        <w:t>深度学习为核心的计算机视觉、自然语言处理、生物特征识别、新型人机交互、自主决策控制等算法</w:t>
      </w:r>
      <w:r>
        <w:rPr>
          <w:rFonts w:hint="eastAsia" w:ascii="仿宋" w:hAnsi="仿宋" w:eastAsia="仿宋"/>
          <w:i w:val="0"/>
          <w:iCs w:val="0"/>
          <w:color w:val="000000"/>
          <w:sz w:val="32"/>
          <w:szCs w:val="32"/>
        </w:rPr>
        <w:t>模型在智能制造、智能服务场景中应用，推动人工智能核心算法的硬件化、系统化和平台化</w:t>
      </w:r>
      <w:r>
        <w:rPr>
          <w:rFonts w:ascii="仿宋" w:hAnsi="仿宋" w:eastAsia="仿宋"/>
          <w:i w:val="0"/>
          <w:iCs w:val="0"/>
          <w:color w:val="000000"/>
          <w:sz w:val="32"/>
          <w:szCs w:val="32"/>
        </w:rPr>
        <w:t>。支持</w:t>
      </w:r>
      <w:r>
        <w:rPr>
          <w:rFonts w:hint="eastAsia" w:ascii="仿宋" w:hAnsi="仿宋" w:eastAsia="仿宋"/>
          <w:i w:val="0"/>
          <w:iCs w:val="0"/>
          <w:color w:val="000000"/>
          <w:sz w:val="32"/>
          <w:szCs w:val="32"/>
        </w:rPr>
        <w:t>云计算、并行计算、网格计算等新型计算系统技术开发。</w:t>
      </w:r>
    </w:p>
    <w:p>
      <w:pPr>
        <w:pStyle w:val="12"/>
        <w:spacing w:line="360" w:lineRule="auto"/>
        <w:ind w:firstLine="643"/>
        <w:rPr>
          <w:rFonts w:ascii="仿宋" w:hAnsi="仿宋" w:eastAsia="仿宋" w:cs="仿宋"/>
          <w:i w:val="0"/>
          <w:iCs w:val="0"/>
          <w:color w:val="000000"/>
        </w:rPr>
      </w:pPr>
      <w:r>
        <w:rPr>
          <w:rFonts w:hint="eastAsia" w:ascii="仿宋" w:hAnsi="仿宋" w:eastAsia="仿宋"/>
          <w:b/>
          <w:bCs/>
          <w:i w:val="0"/>
          <w:iCs w:val="0"/>
          <w:color w:val="000000"/>
        </w:rPr>
        <w:t>4.智能应用及系统集成。</w:t>
      </w:r>
      <w:r>
        <w:rPr>
          <w:rFonts w:hint="eastAsia" w:ascii="仿宋" w:hAnsi="仿宋" w:eastAsia="仿宋"/>
          <w:i w:val="0"/>
          <w:iCs w:val="0"/>
          <w:color w:val="000000"/>
        </w:rPr>
        <w:t>推广应用数字化技术、系统集成技术、工业互联网技术，构建技术联合攻关体系。加快推动芯片、算法、软件和应用平台集成创新，重点突破新型传感、先进控制与优化、信息识别、复杂环境识别等智能制造工程应用技术。</w:t>
      </w:r>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（二）促进创新应用</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1.促进智慧安防示范应用。</w:t>
      </w:r>
      <w:r>
        <w:rPr>
          <w:rFonts w:hint="eastAsia" w:ascii="仿宋" w:hAnsi="仿宋" w:eastAsia="仿宋"/>
          <w:i w:val="0"/>
          <w:iCs w:val="0"/>
          <w:color w:val="000000"/>
          <w:sz w:val="32"/>
          <w:szCs w:val="32"/>
        </w:rPr>
        <w:t>推动生物识别技术、数据存储和深度学习技术、安全监控管理系统软件和视频安全辅助系统在智能安防领域的应用。支持企业开发机器视觉产品、人脸识别软件、数字视频联网监控整体解决方案等智慧安防监控产品。支持有条件社区开展人工智能公共安防区域示范，重点推进新一代立体化安防系统建设和应用示范。</w:t>
      </w:r>
    </w:p>
    <w:p>
      <w:pPr>
        <w:adjustRightInd w:val="0"/>
        <w:snapToGrid w:val="0"/>
        <w:spacing w:line="600" w:lineRule="exact"/>
        <w:ind w:firstLine="643" w:firstLineChars="200"/>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2.促进智慧医疗示范应用。</w:t>
      </w:r>
      <w:r>
        <w:rPr>
          <w:rFonts w:hint="eastAsia" w:ascii="仿宋" w:hAnsi="仿宋" w:eastAsia="仿宋"/>
          <w:i w:val="0"/>
          <w:iCs w:val="0"/>
          <w:color w:val="000000"/>
          <w:sz w:val="32"/>
          <w:szCs w:val="32"/>
        </w:rPr>
        <w:t>支持企业利用智能影像识别、自然语言处理、深度学习等人工智能核心技术，围绕医学成像系统和图片处理系统，构建医学知识图谱、人工智能辅助诊疗系统、数字化医疗设备和智慧医疗整体解决方案的应用体系。打造专业影像云+人工智能应用平台，构建全球领先的人工智能辅助诊疗与临床多学科诊疗平台。</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3.促进智能制造示范应用。</w:t>
      </w:r>
      <w:r>
        <w:rPr>
          <w:rFonts w:hint="eastAsia" w:ascii="仿宋" w:hAnsi="仿宋" w:eastAsia="仿宋"/>
          <w:i w:val="0"/>
          <w:iCs w:val="0"/>
          <w:color w:val="000000"/>
          <w:sz w:val="32"/>
          <w:szCs w:val="32"/>
        </w:rPr>
        <w:t>推进智能制造关键技术装备、核心支撑软件、自动化工业控制产品等系统集成应用，加强智能感知、模式识别、智能控制、行为分析与事件识别等智能技术在智能装备领域的应用。建设智能生产线、智能工厂、无人工厂，形成智能柔性生产方式，实现自动化和高效率的智能生产。</w:t>
      </w:r>
    </w:p>
    <w:p>
      <w:pPr>
        <w:snapToGrid w:val="0"/>
        <w:spacing w:line="600" w:lineRule="exact"/>
        <w:ind w:firstLine="643" w:firstLineChars="200"/>
        <w:rPr>
          <w:rFonts w:hint="eastAsia" w:ascii="仿宋" w:hAnsi="仿宋" w:eastAsia="仿宋"/>
          <w:i w:val="0"/>
          <w:iCs w:val="0"/>
          <w:color w:val="000000"/>
          <w:sz w:val="32"/>
          <w:szCs w:val="32"/>
          <w:lang w:eastAsia="zh-CN"/>
        </w:rPr>
      </w:pPr>
      <w:r>
        <w:rPr>
          <w:rFonts w:hint="eastAsia" w:ascii="仿宋" w:hAnsi="仿宋" w:eastAsia="仿宋"/>
          <w:b/>
          <w:bCs/>
          <w:i w:val="0"/>
          <w:iCs w:val="0"/>
          <w:color w:val="000000"/>
          <w:sz w:val="32"/>
          <w:szCs w:val="32"/>
        </w:rPr>
        <w:t>4.促进智慧金融示范应用。</w:t>
      </w:r>
      <w:r>
        <w:rPr>
          <w:rFonts w:hint="eastAsia" w:ascii="仿宋" w:hAnsi="仿宋" w:eastAsia="仿宋"/>
          <w:i w:val="0"/>
          <w:iCs w:val="0"/>
          <w:color w:val="000000"/>
          <w:sz w:val="32"/>
          <w:szCs w:val="32"/>
        </w:rPr>
        <w:t>创新更多适合银行、证券、基金、保险、信托等金融类人工智能产品，建立以数据驱动为核心的智能风控、智能投顾、智能客服等分析应用系统，发展金融新业态，提升金融业在业务流程、业务开拓和客户服务等方面的智慧化水平。</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5.促进智慧能源示范应用。</w:t>
      </w:r>
      <w:r>
        <w:rPr>
          <w:rFonts w:hint="eastAsia" w:ascii="仿宋" w:hAnsi="仿宋" w:eastAsia="仿宋"/>
          <w:i w:val="0"/>
          <w:iCs w:val="0"/>
          <w:color w:val="000000"/>
          <w:sz w:val="32"/>
          <w:szCs w:val="32"/>
        </w:rPr>
        <w:t>加强数据采集和清洁能源开发，研发智慧能源技术；支持建设清洁能源互联网云平台和</w:t>
      </w:r>
      <w:r>
        <w:rPr>
          <w:rFonts w:ascii="仿宋" w:hAnsi="仿宋" w:eastAsia="仿宋"/>
          <w:i w:val="0"/>
          <w:iCs w:val="0"/>
          <w:color w:val="000000"/>
          <w:sz w:val="32"/>
          <w:szCs w:val="32"/>
        </w:rPr>
        <w:t>企业电能大数据分析管理平台</w:t>
      </w:r>
      <w:r>
        <w:rPr>
          <w:rFonts w:hint="eastAsia" w:ascii="仿宋" w:hAnsi="仿宋" w:eastAsia="仿宋"/>
          <w:i w:val="0"/>
          <w:iCs w:val="0"/>
          <w:color w:val="000000"/>
          <w:sz w:val="32"/>
          <w:szCs w:val="32"/>
        </w:rPr>
        <w:t>，研发</w:t>
      </w:r>
      <w:r>
        <w:rPr>
          <w:rFonts w:ascii="仿宋" w:hAnsi="仿宋" w:eastAsia="仿宋"/>
          <w:i w:val="0"/>
          <w:iCs w:val="0"/>
          <w:color w:val="000000"/>
          <w:sz w:val="32"/>
          <w:szCs w:val="32"/>
        </w:rPr>
        <w:t>配电监测智控系统</w:t>
      </w:r>
      <w:r>
        <w:rPr>
          <w:rFonts w:hint="eastAsia" w:ascii="仿宋" w:hAnsi="仿宋" w:eastAsia="仿宋"/>
          <w:i w:val="0"/>
          <w:iCs w:val="0"/>
          <w:color w:val="000000"/>
          <w:sz w:val="32"/>
          <w:szCs w:val="32"/>
        </w:rPr>
        <w:t>、智能电站生产管理系统、移动运维APP；加强智能充电桩、智慧能源调度系统、智能运维系统等集清洁能源开发、建设、运营、管理于一体的系统能源解决方案。</w:t>
      </w:r>
    </w:p>
    <w:p>
      <w:pPr>
        <w:adjustRightInd w:val="0"/>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6.促进智慧交通示范应用。</w:t>
      </w:r>
      <w:r>
        <w:rPr>
          <w:rFonts w:hint="eastAsia" w:ascii="仿宋" w:hAnsi="仿宋" w:eastAsia="仿宋"/>
          <w:i w:val="0"/>
          <w:iCs w:val="0"/>
          <w:color w:val="000000"/>
          <w:sz w:val="32"/>
          <w:szCs w:val="32"/>
        </w:rPr>
        <w:t>推进“城市大脑”工程的应用开发，实现智能化交通疏导和综合运行协调指挥。结合2022年亚运会，支持企业与科研机构合作研发智能辅助驾驶、复杂环境感知、车载智能设备一批软硬件产品，率先推动智能汽车在园区巡逻、观光游览、物流配送、区域接驳、快速公交等特定场景的示范应用推广。</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7.促进智能机器人示范应用。</w:t>
      </w:r>
      <w:r>
        <w:rPr>
          <w:rFonts w:hint="eastAsia" w:ascii="仿宋" w:hAnsi="仿宋" w:eastAsia="仿宋"/>
          <w:i w:val="0"/>
          <w:iCs w:val="0"/>
          <w:color w:val="000000"/>
          <w:sz w:val="32"/>
          <w:szCs w:val="32"/>
        </w:rPr>
        <w:t>推动互联网技术以及智能感知、模式识别、智能分析、智能控制等技术在工业机器人领域的深度应用。优先布局智能服务机器人市场，大力推进教育娱乐、医疗康复、养老陪护、安防救援等特定应用场景的智能服务机器人研发及产业化。</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8.促进智能家居示范应用。</w:t>
      </w:r>
      <w:r>
        <w:rPr>
          <w:rFonts w:hint="eastAsia" w:ascii="仿宋" w:hAnsi="仿宋" w:eastAsia="仿宋"/>
          <w:i w:val="0"/>
          <w:iCs w:val="0"/>
          <w:color w:val="000000"/>
          <w:sz w:val="32"/>
          <w:szCs w:val="32"/>
        </w:rPr>
        <w:t>重点支持智能传感、物联网、机器学习等技术在智能家居产品中的应用，实现家居产品的人机对话、行为交互、设备互联和协同控制等功能。加快新型可穿戴家居设备的研发和产业化。建设一批智能家居测试评价、示范应用项目并推广，提升家居产品的个性化、智能化服务能力。</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9.促进智能教育示范应用。</w:t>
      </w:r>
      <w:r>
        <w:rPr>
          <w:rFonts w:hint="eastAsia" w:ascii="仿宋" w:hAnsi="仿宋" w:eastAsia="仿宋"/>
          <w:i w:val="0"/>
          <w:iCs w:val="0"/>
          <w:color w:val="000000"/>
          <w:sz w:val="32"/>
          <w:szCs w:val="32"/>
        </w:rPr>
        <w:t>推动基于教育大数据的人工智能在教育管理、师资培训、课堂应用、教学评价等全流程应用，构建包含智能学习、交互式学习的新型教育体系。开展智能教育试点示范学校建设，</w:t>
      </w:r>
      <w:r>
        <w:rPr>
          <w:rFonts w:hint="eastAsia" w:ascii="仿宋" w:hAnsi="仿宋" w:eastAsia="仿宋"/>
          <w:i w:val="0"/>
          <w:iCs w:val="0"/>
          <w:color w:val="000000"/>
          <w:sz w:val="32"/>
          <w:szCs w:val="32"/>
          <w:lang w:eastAsia="zh-CN"/>
        </w:rPr>
        <w:t>探索</w:t>
      </w:r>
      <w:r>
        <w:rPr>
          <w:rFonts w:hint="eastAsia" w:ascii="仿宋" w:hAnsi="仿宋" w:eastAsia="仿宋"/>
          <w:i w:val="0"/>
          <w:iCs w:val="0"/>
          <w:color w:val="000000"/>
          <w:sz w:val="32"/>
          <w:szCs w:val="32"/>
        </w:rPr>
        <w:t>基于数据的精准教学，推动个性化学习，全面推进智慧教育，促进教育教学转型。</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10.促进智能环保示范应用。</w:t>
      </w:r>
      <w:r>
        <w:rPr>
          <w:rFonts w:hint="eastAsia" w:ascii="仿宋" w:hAnsi="仿宋" w:eastAsia="仿宋"/>
          <w:i w:val="0"/>
          <w:iCs w:val="0"/>
          <w:color w:val="000000"/>
          <w:sz w:val="32"/>
          <w:szCs w:val="32"/>
          <w:lang w:eastAsia="zh-CN"/>
        </w:rPr>
        <w:t>鼓励开发</w:t>
      </w:r>
      <w:r>
        <w:rPr>
          <w:rFonts w:hint="eastAsia" w:ascii="仿宋" w:hAnsi="仿宋" w:eastAsia="仿宋"/>
          <w:i w:val="0"/>
          <w:iCs w:val="0"/>
          <w:color w:val="000000"/>
          <w:sz w:val="32"/>
          <w:szCs w:val="32"/>
        </w:rPr>
        <w:t>方便感知、测量、捕获以及传递信息的感知系统，实时感知污染源和环境质量等各种环境参数；</w:t>
      </w:r>
      <w:r>
        <w:rPr>
          <w:rFonts w:hint="eastAsia" w:ascii="仿宋" w:hAnsi="仿宋" w:eastAsia="仿宋"/>
          <w:i w:val="0"/>
          <w:iCs w:val="0"/>
          <w:color w:val="000000"/>
          <w:sz w:val="32"/>
          <w:szCs w:val="32"/>
          <w:lang w:eastAsia="zh-CN"/>
        </w:rPr>
        <w:t>加快</w:t>
      </w:r>
      <w:r>
        <w:rPr>
          <w:rFonts w:hint="eastAsia" w:ascii="仿宋" w:hAnsi="仿宋" w:eastAsia="仿宋"/>
          <w:i w:val="0"/>
          <w:iCs w:val="0"/>
          <w:color w:val="000000"/>
          <w:sz w:val="32"/>
          <w:szCs w:val="32"/>
        </w:rPr>
        <w:t>云计算、虚拟化、模糊识别等智能计算技术</w:t>
      </w:r>
      <w:r>
        <w:rPr>
          <w:rFonts w:hint="eastAsia" w:ascii="仿宋" w:hAnsi="仿宋" w:eastAsia="仿宋"/>
          <w:i w:val="0"/>
          <w:iCs w:val="0"/>
          <w:color w:val="000000"/>
          <w:sz w:val="32"/>
          <w:szCs w:val="32"/>
          <w:lang w:eastAsia="zh-CN"/>
        </w:rPr>
        <w:t>研发</w:t>
      </w:r>
      <w:r>
        <w:rPr>
          <w:rFonts w:hint="eastAsia" w:ascii="仿宋" w:hAnsi="仿宋" w:eastAsia="仿宋"/>
          <w:i w:val="0"/>
          <w:iCs w:val="0"/>
          <w:color w:val="000000"/>
          <w:sz w:val="32"/>
          <w:szCs w:val="32"/>
        </w:rPr>
        <w:t>，建设水、气、土壤、固废领域具有高速计算能力、海量存储能力、实时处理能力、深度挖掘能力的智能环境信息处理平台，提供一站式解决方案。</w:t>
      </w:r>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（三）集聚创新要素</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1.支持建设开源和共性技术平台。</w:t>
      </w:r>
      <w:r>
        <w:rPr>
          <w:rFonts w:hint="eastAsia" w:ascii="仿宋" w:hAnsi="仿宋" w:eastAsia="仿宋"/>
          <w:i w:val="0"/>
          <w:iCs w:val="0"/>
          <w:color w:val="000000"/>
          <w:sz w:val="32"/>
          <w:szCs w:val="32"/>
        </w:rPr>
        <w:t>支持企业、高校及科研院所建设面向深度学习的人工智能公共计算平台，支持建立人工智能安全技术研发和检测平台，围绕计算机视觉、生物特征识别、语音识别、自然语言理解、自主决策控制等共性关键技术搭建开放平台，提升行业整体创新效率。</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2.支持建设协同创新研发平台。</w:t>
      </w:r>
      <w:r>
        <w:rPr>
          <w:rFonts w:hint="eastAsia" w:ascii="仿宋" w:hAnsi="仿宋" w:eastAsia="仿宋"/>
          <w:i w:val="0"/>
          <w:iCs w:val="0"/>
          <w:color w:val="000000"/>
          <w:sz w:val="32"/>
          <w:szCs w:val="32"/>
        </w:rPr>
        <w:t>重点支持高校、科研院所联合人工智能企业建立有利于协同创新和成果转化的新型研发机构、概念验证实验室等技术研发平台。支持高校、企业申报实验室、技术创新中心、工程实验室等科研平台。</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3.支持建设行业公共服务平台。</w:t>
      </w:r>
      <w:r>
        <w:rPr>
          <w:rFonts w:hint="eastAsia" w:ascii="仿宋" w:hAnsi="仿宋" w:eastAsia="仿宋"/>
          <w:i w:val="0"/>
          <w:iCs w:val="0"/>
          <w:color w:val="000000"/>
          <w:sz w:val="32"/>
          <w:szCs w:val="32"/>
        </w:rPr>
        <w:t>支持搭建以人工智能产业技术联盟为代表的行业公共服务平台和对接交流平台，提供共性技术研发、成果转移转化、检验检测等服务。通过组织行业竞赛、高峰论坛、国际会议等形式，加深横、纵向产业链的交流合作与需求对接，加快集聚全球人工智能领域高端创新要素。</w:t>
      </w:r>
    </w:p>
    <w:p>
      <w:pPr>
        <w:snapToGrid w:val="0"/>
        <w:spacing w:line="600" w:lineRule="exact"/>
        <w:ind w:firstLine="643" w:firstLineChars="200"/>
        <w:rPr>
          <w:rFonts w:ascii="仿宋" w:hAnsi="仿宋" w:eastAsia="仿宋"/>
          <w:i w:val="0"/>
          <w:iCs w:val="0"/>
          <w:color w:val="000000"/>
          <w:sz w:val="32"/>
          <w:szCs w:val="32"/>
        </w:rPr>
      </w:pPr>
      <w:r>
        <w:rPr>
          <w:rFonts w:hint="eastAsia" w:ascii="仿宋" w:hAnsi="仿宋" w:eastAsia="仿宋"/>
          <w:b/>
          <w:bCs/>
          <w:i w:val="0"/>
          <w:iCs w:val="0"/>
          <w:color w:val="000000"/>
          <w:sz w:val="32"/>
          <w:szCs w:val="32"/>
        </w:rPr>
        <w:t>4.引进和培育人工智能高端人才和团队。</w:t>
      </w:r>
      <w:r>
        <w:rPr>
          <w:rFonts w:hint="eastAsia" w:ascii="仿宋" w:hAnsi="仿宋" w:eastAsia="仿宋"/>
          <w:i w:val="0"/>
          <w:iCs w:val="0"/>
          <w:color w:val="000000"/>
          <w:sz w:val="32"/>
          <w:szCs w:val="32"/>
        </w:rPr>
        <w:t>支持掌握人工智能尖端技术和实践经验的领军科学家、领军企业家、优秀留学生来滨江创新创业。引进和培养一批世界级人工智能顶尖领军人才和高层次团队,鼓励高校及校企合作单位、市场化培训机构等开展人工智能人才培养培训，加快建成多层次、高质量的人才梯队。</w:t>
      </w:r>
    </w:p>
    <w:p>
      <w:pPr>
        <w:snapToGrid w:val="0"/>
        <w:spacing w:line="600" w:lineRule="exact"/>
        <w:ind w:firstLine="643" w:firstLineChars="200"/>
        <w:rPr>
          <w:rFonts w:hint="eastAsia" w:ascii="仿宋" w:hAnsi="仿宋" w:eastAsia="仿宋"/>
          <w:b/>
          <w:bCs/>
          <w:i w:val="0"/>
          <w:iCs w:val="0"/>
          <w:color w:val="FF0000"/>
          <w:sz w:val="32"/>
          <w:szCs w:val="32"/>
          <w:lang w:eastAsia="zh-CN"/>
        </w:rPr>
      </w:pPr>
      <w:r>
        <w:rPr>
          <w:rFonts w:hint="eastAsia" w:ascii="仿宋" w:hAnsi="仿宋" w:eastAsia="仿宋"/>
          <w:b/>
          <w:bCs/>
          <w:i w:val="0"/>
          <w:iCs w:val="0"/>
          <w:color w:val="000000"/>
          <w:sz w:val="32"/>
          <w:szCs w:val="32"/>
        </w:rPr>
        <w:t>5.支持构建多渠道投融资服务体系。</w:t>
      </w:r>
      <w:r>
        <w:rPr>
          <w:rFonts w:hint="eastAsia" w:ascii="仿宋" w:hAnsi="仿宋" w:eastAsia="仿宋"/>
          <w:i w:val="0"/>
          <w:iCs w:val="0"/>
          <w:color w:val="000000"/>
          <w:sz w:val="32"/>
          <w:szCs w:val="32"/>
        </w:rPr>
        <w:t>支持设立人工智能投资基金，加大对人工智能领域原创、成果转化和产业化的投资力度。优先支持人工智能企业通过信用贷款、知识产权质押贷款、股权质押贷款、担保贷款、信用保险及贸易融资等方式融资。鼓励人工智能企业开展并购重组、改制、挂牌</w:t>
      </w:r>
      <w:r>
        <w:rPr>
          <w:rFonts w:hint="eastAsia" w:ascii="仿宋" w:hAnsi="仿宋" w:eastAsia="仿宋"/>
          <w:i w:val="0"/>
          <w:iCs w:val="0"/>
          <w:color w:val="000000"/>
          <w:sz w:val="32"/>
          <w:szCs w:val="32"/>
          <w:lang w:eastAsia="zh-CN"/>
        </w:rPr>
        <w:t>、</w:t>
      </w:r>
      <w:r>
        <w:rPr>
          <w:rFonts w:hint="eastAsia" w:ascii="仿宋" w:hAnsi="仿宋" w:eastAsia="仿宋"/>
          <w:i w:val="0"/>
          <w:iCs w:val="0"/>
          <w:color w:val="000000"/>
          <w:sz w:val="32"/>
          <w:szCs w:val="32"/>
        </w:rPr>
        <w:t>上市。</w:t>
      </w:r>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三、扶持政策</w:t>
      </w:r>
    </w:p>
    <w:p>
      <w:pPr>
        <w:pStyle w:val="12"/>
        <w:spacing w:line="600" w:lineRule="exact"/>
        <w:ind w:firstLine="643"/>
        <w:rPr>
          <w:rFonts w:hint="eastAsia" w:ascii="仿宋" w:hAnsi="仿宋" w:eastAsia="仿宋" w:cs="仿宋"/>
          <w:i w:val="0"/>
          <w:iCs w:val="0"/>
        </w:rPr>
      </w:pPr>
      <w:r>
        <w:rPr>
          <w:rFonts w:hint="eastAsia" w:ascii="仿宋" w:hAnsi="仿宋" w:eastAsia="仿宋" w:cs="仿宋"/>
          <w:b/>
          <w:bCs/>
          <w:i w:val="0"/>
          <w:iCs w:val="0"/>
        </w:rPr>
        <w:t>1.鼓励核心技术研发。</w:t>
      </w:r>
      <w:r>
        <w:rPr>
          <w:rFonts w:hint="eastAsia" w:ascii="仿宋" w:hAnsi="仿宋" w:eastAsia="仿宋" w:cs="仿宋"/>
          <w:i w:val="0"/>
          <w:iCs w:val="0"/>
        </w:rPr>
        <w:t>支持企事业单位开展人工智能领域关键核心技术研究，对获国家、省、市立项支持的项目，按规定给予配套资助，其中人工智能芯片、核心算法、操作系统等基础核心技术攻关项目，最高不超过2000万元。</w:t>
      </w:r>
    </w:p>
    <w:p>
      <w:pPr>
        <w:pStyle w:val="12"/>
        <w:spacing w:line="600" w:lineRule="exact"/>
        <w:ind w:firstLine="643"/>
        <w:rPr>
          <w:rFonts w:ascii="仿宋" w:hAnsi="仿宋" w:eastAsia="仿宋" w:cs="仿宋"/>
          <w:i w:val="0"/>
          <w:iCs w:val="0"/>
        </w:rPr>
      </w:pPr>
      <w:r>
        <w:rPr>
          <w:rFonts w:hint="eastAsia" w:ascii="仿宋" w:hAnsi="仿宋" w:eastAsia="仿宋" w:cs="仿宋"/>
          <w:b/>
          <w:bCs/>
          <w:i w:val="0"/>
          <w:iCs w:val="0"/>
        </w:rPr>
        <w:t>2.鼓励研发平台建设。</w:t>
      </w:r>
      <w:r>
        <w:rPr>
          <w:rFonts w:hint="eastAsia" w:ascii="仿宋" w:hAnsi="仿宋" w:eastAsia="仿宋" w:cs="仿宋"/>
          <w:i w:val="0"/>
          <w:iCs w:val="0"/>
        </w:rPr>
        <w:t>支持高校、科研机构和企业在我区创建人工智能方向的研发平台，对新认定的国家、省级重点实验室（工程技术研究中心），分别给予1000万元、200万元奖励；对新认定的省级企业研究院，给予50万元奖励，省级重点企业研究院资助按省、市有关规定执行；对新认定的国家、省、市级研发中心（工程研究中心、企业技术中心），分别给予100万元、50万元、20万元奖励。</w:t>
      </w:r>
    </w:p>
    <w:p>
      <w:pPr>
        <w:autoSpaceDE w:val="0"/>
        <w:autoSpaceDN w:val="0"/>
        <w:adjustRightInd w:val="0"/>
        <w:spacing w:line="600" w:lineRule="exact"/>
        <w:ind w:firstLine="643" w:firstLineChars="200"/>
        <w:jc w:val="left"/>
        <w:rPr>
          <w:rFonts w:hint="eastAsia" w:ascii="仿宋" w:hAnsi="仿宋" w:eastAsia="仿宋" w:cs="仿宋"/>
          <w:i w:val="0"/>
          <w:iCs w:val="0"/>
          <w:sz w:val="32"/>
          <w:szCs w:val="32"/>
        </w:rPr>
      </w:pPr>
      <w:r>
        <w:rPr>
          <w:rFonts w:hint="eastAsia" w:ascii="仿宋" w:hAnsi="仿宋" w:eastAsia="仿宋" w:cs="仿宋"/>
          <w:b/>
          <w:bCs/>
          <w:i w:val="0"/>
          <w:iCs w:val="0"/>
          <w:sz w:val="32"/>
          <w:szCs w:val="32"/>
        </w:rPr>
        <w:t>3.鼓励公共服务平台建设。</w:t>
      </w:r>
      <w:r>
        <w:rPr>
          <w:rFonts w:hint="eastAsia" w:ascii="仿宋" w:hAnsi="仿宋" w:eastAsia="仿宋" w:cs="仿宋"/>
          <w:i w:val="0"/>
          <w:iCs w:val="0"/>
          <w:sz w:val="32"/>
          <w:szCs w:val="32"/>
        </w:rPr>
        <w:t>支持开源开放、协同共享的人工智能科技创新服务平台建设，实际投入500万元以上的，服务产业取得良好成效的，按其软硬件投入的30％给予补助，最高不超过500万元。</w:t>
      </w:r>
    </w:p>
    <w:p>
      <w:pPr>
        <w:autoSpaceDE w:val="0"/>
        <w:autoSpaceDN w:val="0"/>
        <w:adjustRightInd w:val="0"/>
        <w:spacing w:line="600" w:lineRule="exact"/>
        <w:ind w:firstLine="643" w:firstLineChars="200"/>
        <w:jc w:val="left"/>
        <w:rPr>
          <w:rFonts w:ascii="仿宋" w:hAnsi="仿宋" w:eastAsia="仿宋" w:cs="仿宋"/>
          <w:bCs/>
          <w:i w:val="0"/>
          <w:iCs w:val="0"/>
          <w:sz w:val="32"/>
          <w:szCs w:val="32"/>
        </w:rPr>
      </w:pPr>
      <w:r>
        <w:rPr>
          <w:rFonts w:hint="eastAsia" w:ascii="仿宋" w:hAnsi="仿宋" w:eastAsia="仿宋" w:cs="仿宋"/>
          <w:b/>
          <w:bCs/>
          <w:i w:val="0"/>
          <w:iCs w:val="0"/>
          <w:sz w:val="32"/>
          <w:szCs w:val="32"/>
        </w:rPr>
        <w:t>4.支持人工智能产品示范应用。</w:t>
      </w:r>
      <w:r>
        <w:rPr>
          <w:rFonts w:hint="eastAsia" w:ascii="仿宋" w:hAnsi="仿宋" w:eastAsia="仿宋" w:cs="仿宋"/>
          <w:i w:val="0"/>
          <w:iCs w:val="0"/>
          <w:sz w:val="32"/>
          <w:szCs w:val="32"/>
        </w:rPr>
        <w:t>在政府投资项目中谋划推出一批人工智能应用场景，支持人工智能新技术新产品新模式在我区示范</w:t>
      </w:r>
      <w:r>
        <w:rPr>
          <w:rFonts w:hint="eastAsia" w:ascii="仿宋" w:hAnsi="仿宋" w:eastAsia="仿宋" w:cs="仿宋"/>
          <w:i w:val="0"/>
          <w:iCs w:val="0"/>
          <w:sz w:val="32"/>
          <w:szCs w:val="32"/>
          <w:lang w:eastAsia="zh-CN"/>
        </w:rPr>
        <w:t>应用</w:t>
      </w:r>
      <w:r>
        <w:rPr>
          <w:rFonts w:hint="eastAsia" w:ascii="仿宋" w:hAnsi="仿宋" w:eastAsia="仿宋" w:cs="仿宋"/>
          <w:i w:val="0"/>
          <w:iCs w:val="0"/>
          <w:sz w:val="32"/>
          <w:szCs w:val="32"/>
        </w:rPr>
        <w:t>。对符合规定条件</w:t>
      </w:r>
      <w:r>
        <w:rPr>
          <w:rFonts w:hint="eastAsia" w:ascii="仿宋" w:hAnsi="仿宋" w:eastAsia="仿宋" w:cs="仿宋"/>
          <w:bCs/>
          <w:i w:val="0"/>
          <w:iCs w:val="0"/>
          <w:sz w:val="32"/>
          <w:szCs w:val="32"/>
        </w:rPr>
        <w:t>的人工智能产品实行政府首购制度。对列入国家、省、市级示范应用场景项目，分别奖励100万元、80万元、50万元。</w:t>
      </w:r>
    </w:p>
    <w:p>
      <w:pPr>
        <w:pStyle w:val="12"/>
        <w:spacing w:line="600" w:lineRule="exact"/>
        <w:ind w:firstLine="643"/>
        <w:rPr>
          <w:rFonts w:ascii="仿宋" w:hAnsi="仿宋" w:eastAsia="仿宋" w:cs="仿宋"/>
          <w:i w:val="0"/>
          <w:iCs w:val="0"/>
        </w:rPr>
      </w:pPr>
      <w:r>
        <w:rPr>
          <w:rFonts w:hint="eastAsia" w:ascii="仿宋" w:hAnsi="仿宋" w:eastAsia="仿宋" w:cs="仿宋"/>
          <w:b/>
          <w:bCs/>
          <w:i w:val="0"/>
          <w:iCs w:val="0"/>
        </w:rPr>
        <w:t>5.鼓励</w:t>
      </w:r>
      <w:r>
        <w:rPr>
          <w:rFonts w:hint="eastAsia" w:ascii="仿宋" w:hAnsi="仿宋" w:eastAsia="仿宋" w:cs="仿宋"/>
          <w:b/>
          <w:i w:val="0"/>
          <w:iCs w:val="0"/>
        </w:rPr>
        <w:t>招才引智。</w:t>
      </w:r>
      <w:r>
        <w:rPr>
          <w:rFonts w:hint="eastAsia" w:ascii="仿宋" w:hAnsi="仿宋" w:eastAsia="仿宋" w:cs="仿宋"/>
          <w:i w:val="0"/>
          <w:iCs w:val="0"/>
        </w:rPr>
        <w:t>对高层次人才领衔的人工智能创业项目，可按照“5050计划”给予</w:t>
      </w:r>
      <w:r>
        <w:rPr>
          <w:rFonts w:hint="eastAsia" w:ascii="仿宋" w:hAnsi="仿宋" w:eastAsia="仿宋" w:cs="仿宋"/>
          <w:i w:val="0"/>
          <w:iCs w:val="0"/>
          <w:lang w:eastAsia="zh-CN"/>
        </w:rPr>
        <w:t>支持。</w:t>
      </w:r>
      <w:r>
        <w:rPr>
          <w:rFonts w:hint="eastAsia" w:ascii="仿宋" w:hAnsi="仿宋" w:eastAsia="仿宋" w:cs="仿宋"/>
          <w:i w:val="0"/>
          <w:iCs w:val="0"/>
        </w:rPr>
        <w:t xml:space="preserve">对技术创新能力国际领先、产业化前景广、投资额度大的项目，可按其研发投入最高给予15%资助；对培育或引进的获得创投机构投资额累计达1000万元及以上的企业，给予三年房租补贴，并以上年度对区贡献为基数，对企业三年新增贡献部分给予资助。对特别重大的招商引资项目，采取“一事一议”的方式给予支持。区产业扶持基金优先给予非同股同权投资、同股同权直接投资等解决企业融资需求。 </w:t>
      </w:r>
    </w:p>
    <w:p>
      <w:pPr>
        <w:ind w:firstLine="643" w:firstLineChars="200"/>
        <w:rPr>
          <w:rFonts w:hint="eastAsia" w:ascii="仿宋" w:hAnsi="仿宋" w:eastAsia="仿宋" w:cs="仿宋"/>
          <w:i w:val="0"/>
          <w:iCs w:val="0"/>
          <w:sz w:val="32"/>
          <w:szCs w:val="32"/>
        </w:rPr>
      </w:pPr>
      <w:r>
        <w:rPr>
          <w:rFonts w:hint="eastAsia" w:ascii="仿宋" w:hAnsi="仿宋" w:eastAsia="仿宋" w:cs="仿宋"/>
          <w:b/>
          <w:i w:val="0"/>
          <w:iCs w:val="0"/>
          <w:sz w:val="32"/>
          <w:szCs w:val="32"/>
        </w:rPr>
        <w:t>6.鼓励</w:t>
      </w:r>
      <w:r>
        <w:rPr>
          <w:rFonts w:hint="eastAsia" w:ascii="仿宋" w:hAnsi="仿宋" w:eastAsia="仿宋" w:cs="仿宋"/>
          <w:b/>
          <w:i w:val="0"/>
          <w:iCs w:val="0"/>
          <w:sz w:val="32"/>
          <w:szCs w:val="32"/>
          <w:lang w:eastAsia="zh-CN"/>
        </w:rPr>
        <w:t>培育</w:t>
      </w:r>
      <w:r>
        <w:rPr>
          <w:rFonts w:hint="eastAsia" w:ascii="仿宋" w:hAnsi="仿宋" w:eastAsia="仿宋" w:cs="仿宋"/>
          <w:b/>
          <w:i w:val="0"/>
          <w:iCs w:val="0"/>
          <w:sz w:val="32"/>
          <w:szCs w:val="32"/>
        </w:rPr>
        <w:t>高层次人才</w:t>
      </w:r>
      <w:r>
        <w:rPr>
          <w:rFonts w:hint="eastAsia" w:ascii="仿宋" w:hAnsi="仿宋" w:eastAsia="仿宋" w:cs="仿宋"/>
          <w:i w:val="0"/>
          <w:iCs w:val="0"/>
          <w:sz w:val="32"/>
          <w:szCs w:val="32"/>
        </w:rPr>
        <w:t>。支持高校、科研机构、新型研发机构及企事业单位引育人工智能人才团队，对入选省市领军型创新创业团队、省“万人计划”、市“115”引智计划的，分别给予最高不超过500万元、260万元、60万元资助。对顶尖人才和团队的重大项目实行“一事一议”。对杭州市人工智能企业库内企业经认定的高层次人才，按照杭州市相关高层次人才专项奖励政策执行。</w:t>
      </w:r>
    </w:p>
    <w:p>
      <w:pPr>
        <w:numPr>
          <w:ilvl w:val="0"/>
          <w:numId w:val="0"/>
        </w:numPr>
        <w:autoSpaceDE w:val="0"/>
        <w:autoSpaceDN w:val="0"/>
        <w:adjustRightInd w:val="0"/>
        <w:spacing w:line="600" w:lineRule="exact"/>
        <w:ind w:firstLine="643" w:firstLineChars="200"/>
        <w:jc w:val="left"/>
        <w:rPr>
          <w:rFonts w:hint="eastAsia" w:ascii="仿宋" w:hAnsi="仿宋" w:eastAsia="仿宋" w:cs="仿宋"/>
          <w:i w:val="0"/>
          <w:iCs w:val="0"/>
          <w:color w:val="FF0000"/>
          <w:sz w:val="32"/>
          <w:szCs w:val="32"/>
        </w:rPr>
      </w:pPr>
      <w:r>
        <w:rPr>
          <w:rFonts w:hint="eastAsia" w:ascii="仿宋" w:hAnsi="仿宋" w:eastAsia="仿宋" w:cs="仿宋"/>
          <w:b/>
          <w:i w:val="0"/>
          <w:iCs w:val="0"/>
          <w:kern w:val="2"/>
          <w:sz w:val="32"/>
          <w:szCs w:val="32"/>
          <w:lang w:val="en-US" w:eastAsia="zh-CN" w:bidi="ar-SA"/>
        </w:rPr>
        <w:t>7.鼓励人工智能企业发展。</w:t>
      </w:r>
      <w:r>
        <w:rPr>
          <w:rFonts w:hint="eastAsia" w:ascii="仿宋" w:hAnsi="仿宋" w:eastAsia="仿宋" w:cs="仿宋"/>
          <w:i w:val="0"/>
          <w:iCs w:val="0"/>
          <w:sz w:val="32"/>
          <w:szCs w:val="32"/>
        </w:rPr>
        <w:t>对新认定的国家级、省级、市级人工智能领军企业或行业应用标杆企业，</w:t>
      </w:r>
      <w:r>
        <w:rPr>
          <w:rFonts w:hint="eastAsia" w:ascii="仿宋" w:hAnsi="仿宋" w:eastAsia="仿宋" w:cs="仿宋"/>
          <w:i w:val="0"/>
          <w:iCs w:val="0"/>
          <w:sz w:val="32"/>
          <w:szCs w:val="32"/>
          <w:lang w:eastAsia="zh-CN"/>
        </w:rPr>
        <w:t>及</w:t>
      </w:r>
      <w:r>
        <w:rPr>
          <w:rFonts w:hint="eastAsia" w:ascii="仿宋" w:hAnsi="仿宋" w:eastAsia="仿宋" w:cs="仿宋"/>
          <w:i w:val="0"/>
          <w:iCs w:val="0"/>
          <w:sz w:val="32"/>
          <w:szCs w:val="32"/>
        </w:rPr>
        <w:t>人工智能解决方案（产品</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技术</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，获得上级财政资助的，按规定给予地方配套。</w:t>
      </w:r>
    </w:p>
    <w:p>
      <w:pPr>
        <w:pStyle w:val="12"/>
        <w:spacing w:line="600" w:lineRule="exact"/>
        <w:ind w:firstLine="643"/>
        <w:rPr>
          <w:rFonts w:ascii="仿宋" w:hAnsi="仿宋" w:eastAsia="仿宋" w:cs="仿宋"/>
          <w:i w:val="0"/>
          <w:iCs w:val="0"/>
        </w:rPr>
      </w:pPr>
      <w:r>
        <w:rPr>
          <w:rFonts w:hint="eastAsia" w:ascii="仿宋" w:hAnsi="仿宋" w:eastAsia="仿宋" w:cs="仿宋"/>
          <w:b/>
          <w:i w:val="0"/>
          <w:iCs w:val="0"/>
        </w:rPr>
        <w:t>8.鼓励人工智能双创载体建设。</w:t>
      </w:r>
      <w:r>
        <w:rPr>
          <w:rFonts w:hint="eastAsia" w:ascii="仿宋" w:hAnsi="仿宋" w:eastAsia="仿宋" w:cs="仿宋"/>
          <w:i w:val="0"/>
          <w:iCs w:val="0"/>
        </w:rPr>
        <w:t>鼓励区内各类产业园、楼宇集聚人工智能企业，人工智能企业注册家数、租赁面积占比均达到30%、50%的，分别奖励100万元、200万元。</w:t>
      </w:r>
    </w:p>
    <w:p>
      <w:pPr>
        <w:spacing w:line="600" w:lineRule="exact"/>
        <w:ind w:firstLine="643" w:firstLineChars="200"/>
        <w:rPr>
          <w:rFonts w:hint="eastAsia" w:ascii="仿宋" w:hAnsi="仿宋" w:eastAsia="仿宋" w:cs="仿宋"/>
          <w:i w:val="0"/>
          <w:iCs w:val="0"/>
          <w:sz w:val="32"/>
          <w:szCs w:val="32"/>
        </w:rPr>
      </w:pPr>
      <w:bookmarkStart w:id="0" w:name="_Hlk6346094"/>
      <w:r>
        <w:rPr>
          <w:rFonts w:hint="eastAsia" w:ascii="仿宋" w:hAnsi="仿宋" w:eastAsia="仿宋" w:cs="仿宋"/>
          <w:b/>
          <w:i w:val="0"/>
          <w:iCs w:val="0"/>
          <w:sz w:val="32"/>
          <w:szCs w:val="32"/>
        </w:rPr>
        <w:t>9.鼓励数据开放共享。</w:t>
      </w:r>
      <w:r>
        <w:rPr>
          <w:rFonts w:hint="eastAsia" w:ascii="仿宋" w:hAnsi="仿宋" w:eastAsia="仿宋" w:cs="仿宋"/>
          <w:i w:val="0"/>
          <w:iCs w:val="0"/>
          <w:sz w:val="32"/>
          <w:szCs w:val="32"/>
        </w:rPr>
        <w:t>探索公共数据共享开放机制。支持区内领军企业搭建人工智能训练和测试环境平台，经备案可纳入区创新券</w:t>
      </w:r>
      <w:r>
        <w:rPr>
          <w:rFonts w:hint="eastAsia" w:ascii="仿宋" w:hAnsi="仿宋" w:eastAsia="仿宋" w:cs="仿宋"/>
          <w:i w:val="0"/>
          <w:iCs w:val="0"/>
          <w:sz w:val="32"/>
          <w:szCs w:val="32"/>
          <w:lang w:eastAsia="zh-CN"/>
        </w:rPr>
        <w:t>支持对象</w:t>
      </w:r>
      <w:r>
        <w:rPr>
          <w:rFonts w:hint="eastAsia" w:ascii="仿宋" w:hAnsi="仿宋" w:eastAsia="仿宋" w:cs="仿宋"/>
          <w:i w:val="0"/>
          <w:iCs w:val="0"/>
          <w:sz w:val="32"/>
          <w:szCs w:val="32"/>
        </w:rPr>
        <w:t>，给予不超过认定登记的技术服务合同金额30%补助，单个企业年最高额度不超过50万元。</w:t>
      </w:r>
    </w:p>
    <w:p>
      <w:pPr>
        <w:spacing w:line="600" w:lineRule="exact"/>
        <w:ind w:firstLine="643" w:firstLineChars="200"/>
        <w:rPr>
          <w:rFonts w:ascii="仿宋" w:hAnsi="仿宋" w:eastAsia="仿宋" w:cs="仿宋"/>
          <w:bCs/>
          <w:i w:val="0"/>
          <w:iCs w:val="0"/>
          <w:sz w:val="32"/>
          <w:szCs w:val="32"/>
        </w:rPr>
      </w:pPr>
      <w:r>
        <w:rPr>
          <w:rFonts w:hint="eastAsia" w:ascii="仿宋" w:hAnsi="仿宋" w:eastAsia="仿宋" w:cs="仿宋"/>
          <w:b/>
          <w:i w:val="0"/>
          <w:iCs w:val="0"/>
          <w:sz w:val="32"/>
          <w:szCs w:val="32"/>
          <w:lang w:val="en-US" w:eastAsia="zh-CN"/>
        </w:rPr>
        <w:t>10</w:t>
      </w:r>
      <w:r>
        <w:rPr>
          <w:rFonts w:hint="eastAsia" w:ascii="仿宋" w:hAnsi="仿宋" w:eastAsia="仿宋" w:cs="仿宋"/>
          <w:b/>
          <w:bCs/>
          <w:i w:val="0"/>
          <w:iCs w:val="0"/>
          <w:sz w:val="32"/>
          <w:szCs w:val="32"/>
        </w:rPr>
        <w:t>. 支持人工智能标准制定。</w:t>
      </w:r>
      <w:r>
        <w:rPr>
          <w:rFonts w:hint="eastAsia" w:ascii="仿宋" w:hAnsi="仿宋" w:eastAsia="仿宋" w:cs="仿宋"/>
          <w:bCs/>
          <w:i w:val="0"/>
          <w:iCs w:val="0"/>
          <w:sz w:val="32"/>
          <w:szCs w:val="32"/>
        </w:rPr>
        <w:t>人工智能企业主导制定完成国际标准、国家标准的，分别给予最高不超过200万元、80万元奖励；参与制定完成国家标准（前三位）、行业标准（前二位）的，分别奖励20万元、10万元。</w:t>
      </w:r>
    </w:p>
    <w:p>
      <w:pPr>
        <w:spacing w:line="600" w:lineRule="exact"/>
        <w:ind w:firstLine="643" w:firstLineChars="200"/>
        <w:rPr>
          <w:rFonts w:ascii="仿宋" w:hAnsi="仿宋" w:eastAsia="仿宋" w:cs="仿宋"/>
          <w:bCs/>
          <w:i w:val="0"/>
          <w:iCs w:val="0"/>
          <w:sz w:val="32"/>
          <w:szCs w:val="32"/>
        </w:rPr>
      </w:pPr>
      <w:r>
        <w:rPr>
          <w:rFonts w:hint="eastAsia" w:ascii="仿宋" w:hAnsi="仿宋" w:eastAsia="仿宋" w:cs="仿宋"/>
          <w:b/>
          <w:bCs/>
          <w:i w:val="0"/>
          <w:iCs w:val="0"/>
          <w:sz w:val="32"/>
          <w:szCs w:val="32"/>
        </w:rPr>
        <w:t>1</w:t>
      </w:r>
      <w:r>
        <w:rPr>
          <w:rFonts w:hint="eastAsia" w:ascii="仿宋" w:hAnsi="仿宋" w:eastAsia="仿宋" w:cs="仿宋"/>
          <w:b/>
          <w:bCs/>
          <w:i w:val="0"/>
          <w:iCs w:val="0"/>
          <w:sz w:val="32"/>
          <w:szCs w:val="32"/>
          <w:lang w:val="en-US" w:eastAsia="zh-CN"/>
        </w:rPr>
        <w:t xml:space="preserve">1. </w:t>
      </w:r>
      <w:bookmarkStart w:id="1" w:name="_GoBack"/>
      <w:bookmarkEnd w:id="1"/>
      <w:r>
        <w:rPr>
          <w:rFonts w:hint="eastAsia" w:ascii="仿宋" w:hAnsi="仿宋" w:eastAsia="仿宋" w:cs="仿宋"/>
          <w:b/>
          <w:bCs/>
          <w:i w:val="0"/>
          <w:iCs w:val="0"/>
          <w:sz w:val="32"/>
          <w:szCs w:val="32"/>
        </w:rPr>
        <w:t>鼓励举办高水平会议。</w:t>
      </w:r>
      <w:r>
        <w:rPr>
          <w:rFonts w:hint="eastAsia" w:ascii="仿宋" w:hAnsi="仿宋" w:eastAsia="仿宋" w:cs="仿宋"/>
          <w:bCs/>
          <w:i w:val="0"/>
          <w:iCs w:val="0"/>
          <w:sz w:val="32"/>
          <w:szCs w:val="32"/>
        </w:rPr>
        <w:t>支持</w:t>
      </w:r>
      <w:r>
        <w:rPr>
          <w:rFonts w:hint="eastAsia" w:ascii="仿宋" w:hAnsi="仿宋" w:eastAsia="仿宋" w:cs="仿宋"/>
          <w:i w:val="0"/>
          <w:iCs w:val="0"/>
          <w:sz w:val="32"/>
          <w:szCs w:val="32"/>
        </w:rPr>
        <w:t>人工智能联盟、协会、科研院所及区内领军</w:t>
      </w:r>
      <w:r>
        <w:rPr>
          <w:rFonts w:hint="eastAsia" w:ascii="仿宋" w:hAnsi="仿宋" w:eastAsia="仿宋" w:cs="仿宋"/>
          <w:bCs/>
          <w:i w:val="0"/>
          <w:iCs w:val="0"/>
          <w:sz w:val="32"/>
          <w:szCs w:val="32"/>
        </w:rPr>
        <w:t>企业举办有影响力的人工智能会议（峰会、活动），给予实际支出最高不超过50%的支持，单个主体每年最高不超过100万元。</w:t>
      </w:r>
      <w:bookmarkEnd w:id="0"/>
    </w:p>
    <w:p>
      <w:pPr>
        <w:adjustRightInd w:val="0"/>
        <w:snapToGrid w:val="0"/>
        <w:spacing w:line="600" w:lineRule="exact"/>
        <w:ind w:firstLine="602"/>
        <w:rPr>
          <w:rFonts w:ascii="仿宋" w:hAnsi="仿宋" w:eastAsia="仿宋"/>
          <w:b/>
          <w:bCs/>
          <w:i w:val="0"/>
          <w:iCs w:val="0"/>
          <w:color w:val="000000"/>
          <w:sz w:val="32"/>
          <w:szCs w:val="32"/>
        </w:rPr>
      </w:pPr>
      <w:r>
        <w:rPr>
          <w:rFonts w:hint="eastAsia" w:ascii="仿宋" w:hAnsi="仿宋" w:eastAsia="仿宋"/>
          <w:b/>
          <w:bCs/>
          <w:i w:val="0"/>
          <w:iCs w:val="0"/>
          <w:color w:val="000000"/>
          <w:sz w:val="32"/>
          <w:szCs w:val="32"/>
        </w:rPr>
        <w:t>四、保障措施</w:t>
      </w:r>
    </w:p>
    <w:p>
      <w:pPr>
        <w:adjustRightInd w:val="0"/>
        <w:snapToGrid w:val="0"/>
        <w:spacing w:line="600" w:lineRule="exact"/>
        <w:ind w:firstLine="643" w:firstLineChars="200"/>
        <w:rPr>
          <w:rFonts w:ascii="仿宋" w:hAnsi="仿宋" w:eastAsia="仿宋" w:cs="仿宋"/>
          <w:i w:val="0"/>
          <w:iCs w:val="0"/>
          <w:snapToGrid w:val="0"/>
          <w:kern w:val="0"/>
          <w:sz w:val="32"/>
          <w:szCs w:val="32"/>
        </w:rPr>
      </w:pPr>
      <w:r>
        <w:rPr>
          <w:rFonts w:hint="eastAsia" w:ascii="仿宋" w:hAnsi="仿宋" w:eastAsia="仿宋" w:cs="仿宋"/>
          <w:b/>
          <w:bCs/>
          <w:i w:val="0"/>
          <w:iCs w:val="0"/>
          <w:snapToGrid w:val="0"/>
          <w:kern w:val="0"/>
          <w:sz w:val="32"/>
          <w:szCs w:val="32"/>
        </w:rPr>
        <w:t>（一）加强组织领导</w:t>
      </w:r>
      <w:r>
        <w:rPr>
          <w:rFonts w:hint="eastAsia" w:ascii="仿宋" w:hAnsi="仿宋" w:eastAsia="仿宋" w:cs="仿宋"/>
          <w:i w:val="0"/>
          <w:iCs w:val="0"/>
          <w:snapToGrid w:val="0"/>
          <w:kern w:val="0"/>
          <w:sz w:val="32"/>
          <w:szCs w:val="32"/>
        </w:rPr>
        <w:t>。成立由区主要领导任组长，分管区长任副组长，区相关部门负责人为成员的区人工智能创新发展区建设工作领导小组，负责完善扶持政策，统筹协调人工智能创新发展区建设中的重大问题。领导小组下设办公室（设在区科技局），负责开展综合协调、考核督查等日常工作。</w:t>
      </w:r>
    </w:p>
    <w:p>
      <w:pPr>
        <w:adjustRightInd w:val="0"/>
        <w:snapToGrid w:val="0"/>
        <w:spacing w:line="600" w:lineRule="exact"/>
        <w:ind w:firstLine="643" w:firstLineChars="200"/>
        <w:rPr>
          <w:rFonts w:ascii="仿宋" w:hAnsi="仿宋" w:eastAsia="仿宋" w:cs="仿宋"/>
          <w:i w:val="0"/>
          <w:iCs w:val="0"/>
          <w:snapToGrid w:val="0"/>
          <w:kern w:val="0"/>
          <w:sz w:val="32"/>
          <w:szCs w:val="32"/>
        </w:rPr>
      </w:pPr>
      <w:r>
        <w:rPr>
          <w:rFonts w:hint="eastAsia" w:ascii="仿宋" w:hAnsi="仿宋" w:eastAsia="仿宋" w:cs="仿宋"/>
          <w:b/>
          <w:bCs/>
          <w:i w:val="0"/>
          <w:iCs w:val="0"/>
          <w:snapToGrid w:val="0"/>
          <w:kern w:val="0"/>
          <w:sz w:val="32"/>
          <w:szCs w:val="32"/>
        </w:rPr>
        <w:t>（二）强化发展空间保障</w:t>
      </w:r>
      <w:r>
        <w:rPr>
          <w:rFonts w:hint="eastAsia" w:ascii="仿宋" w:hAnsi="仿宋" w:eastAsia="仿宋" w:cs="仿宋"/>
          <w:i w:val="0"/>
          <w:iCs w:val="0"/>
          <w:snapToGrid w:val="0"/>
          <w:kern w:val="0"/>
          <w:sz w:val="32"/>
          <w:szCs w:val="32"/>
        </w:rPr>
        <w:t>。推进空间布局和发展模式创新改革，加快人工智能特色园、楼宇建设，扩大产业用地规模，根据企业发展需要给予供地或供楼，优先保障区内优质人工智能企业的产业发展空间。</w:t>
      </w:r>
    </w:p>
    <w:p>
      <w:pPr>
        <w:adjustRightInd w:val="0"/>
        <w:snapToGrid w:val="0"/>
        <w:spacing w:line="600" w:lineRule="exact"/>
        <w:ind w:firstLine="643" w:firstLineChars="200"/>
        <w:rPr>
          <w:rFonts w:ascii="仿宋" w:hAnsi="仿宋" w:eastAsia="仿宋" w:cs="仿宋"/>
          <w:i w:val="0"/>
          <w:iCs w:val="0"/>
          <w:snapToGrid w:val="0"/>
          <w:kern w:val="0"/>
          <w:sz w:val="32"/>
          <w:szCs w:val="32"/>
        </w:rPr>
      </w:pPr>
      <w:r>
        <w:rPr>
          <w:rFonts w:hint="eastAsia" w:ascii="仿宋" w:hAnsi="仿宋" w:eastAsia="仿宋" w:cs="仿宋"/>
          <w:b/>
          <w:bCs/>
          <w:i w:val="0"/>
          <w:iCs w:val="0"/>
          <w:snapToGrid w:val="0"/>
          <w:kern w:val="0"/>
          <w:sz w:val="32"/>
          <w:szCs w:val="32"/>
        </w:rPr>
        <w:t>（三）加强人才引育服务</w:t>
      </w:r>
      <w:r>
        <w:rPr>
          <w:rFonts w:hint="eastAsia" w:ascii="仿宋" w:hAnsi="仿宋" w:eastAsia="仿宋" w:cs="仿宋"/>
          <w:i w:val="0"/>
          <w:iCs w:val="0"/>
          <w:snapToGrid w:val="0"/>
          <w:kern w:val="0"/>
          <w:sz w:val="32"/>
          <w:szCs w:val="32"/>
        </w:rPr>
        <w:t>。用足用好人才政策，围绕我区人工智能创新发展区建设重点领域，加强招才引才力度。优化人才精准服务，深化人才安居工程，妥善解决人才子女教育问题，落实好国际医疗待遇。</w:t>
      </w:r>
    </w:p>
    <w:p>
      <w:pPr>
        <w:adjustRightInd w:val="0"/>
        <w:snapToGrid w:val="0"/>
        <w:spacing w:line="600" w:lineRule="exact"/>
        <w:ind w:firstLine="640" w:firstLineChars="200"/>
        <w:rPr>
          <w:rFonts w:hint="default" w:ascii="仿宋_GB2312" w:eastAsia="仿宋_GB2312"/>
          <w:b/>
          <w:i w:val="0"/>
          <w:iCs w:val="0"/>
          <w:sz w:val="32"/>
          <w:szCs w:val="32"/>
          <w:lang w:val="en-US" w:eastAsia="zh-CN"/>
        </w:rPr>
      </w:pPr>
      <w:r>
        <w:rPr>
          <w:rFonts w:hint="eastAsia" w:ascii="仿宋" w:hAnsi="仿宋" w:eastAsia="仿宋" w:cs="仿宋"/>
          <w:i w:val="0"/>
          <w:iCs w:val="0"/>
          <w:snapToGrid w:val="0"/>
          <w:sz w:val="32"/>
          <w:szCs w:val="32"/>
        </w:rPr>
        <w:t>本意见所涉补贴含市、区两级资金，同一项目按照“从高、从优、不重复”原则执行；本意见自发文之日起施行。具体由区科技局会同区人才办、</w:t>
      </w:r>
      <w:r>
        <w:rPr>
          <w:rFonts w:hint="eastAsia" w:ascii="仿宋" w:hAnsi="仿宋" w:eastAsia="仿宋" w:cs="仿宋"/>
          <w:i w:val="0"/>
          <w:iCs w:val="0"/>
          <w:snapToGrid w:val="0"/>
          <w:sz w:val="32"/>
          <w:szCs w:val="32"/>
          <w:lang w:eastAsia="zh-CN"/>
        </w:rPr>
        <w:t>发改局、</w:t>
      </w:r>
      <w:r>
        <w:rPr>
          <w:rFonts w:hint="eastAsia" w:ascii="仿宋" w:hAnsi="仿宋" w:eastAsia="仿宋" w:cs="仿宋"/>
          <w:i w:val="0"/>
          <w:iCs w:val="0"/>
          <w:snapToGrid w:val="0"/>
          <w:sz w:val="32"/>
          <w:szCs w:val="32"/>
        </w:rPr>
        <w:t xml:space="preserve">经信局、市场监管局、财政局等相关部门负责解释。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910"/>
    <w:rsid w:val="00024912"/>
    <w:rsid w:val="000D4F13"/>
    <w:rsid w:val="001028A7"/>
    <w:rsid w:val="00196910"/>
    <w:rsid w:val="001E620C"/>
    <w:rsid w:val="00202001"/>
    <w:rsid w:val="00327E0E"/>
    <w:rsid w:val="003611F1"/>
    <w:rsid w:val="003958A4"/>
    <w:rsid w:val="003A210F"/>
    <w:rsid w:val="003D4F02"/>
    <w:rsid w:val="003E1848"/>
    <w:rsid w:val="003F6DF8"/>
    <w:rsid w:val="00410B19"/>
    <w:rsid w:val="004215B0"/>
    <w:rsid w:val="00425C9C"/>
    <w:rsid w:val="00491F0C"/>
    <w:rsid w:val="004B43A8"/>
    <w:rsid w:val="00565FF2"/>
    <w:rsid w:val="00585882"/>
    <w:rsid w:val="005B4193"/>
    <w:rsid w:val="006A2681"/>
    <w:rsid w:val="006B2C55"/>
    <w:rsid w:val="00801781"/>
    <w:rsid w:val="00815F66"/>
    <w:rsid w:val="00882817"/>
    <w:rsid w:val="00890444"/>
    <w:rsid w:val="00900521"/>
    <w:rsid w:val="0093192C"/>
    <w:rsid w:val="009A355E"/>
    <w:rsid w:val="009F3185"/>
    <w:rsid w:val="009F470B"/>
    <w:rsid w:val="00AC368F"/>
    <w:rsid w:val="00AD178C"/>
    <w:rsid w:val="00B44729"/>
    <w:rsid w:val="00B57AD5"/>
    <w:rsid w:val="00B6170E"/>
    <w:rsid w:val="00BA1BA6"/>
    <w:rsid w:val="00BB1043"/>
    <w:rsid w:val="00BC7843"/>
    <w:rsid w:val="00BD6B80"/>
    <w:rsid w:val="00C45822"/>
    <w:rsid w:val="00C464B4"/>
    <w:rsid w:val="00C60348"/>
    <w:rsid w:val="00CC0491"/>
    <w:rsid w:val="00CE377F"/>
    <w:rsid w:val="00D07863"/>
    <w:rsid w:val="00D514FC"/>
    <w:rsid w:val="00DA3D37"/>
    <w:rsid w:val="00E40D6C"/>
    <w:rsid w:val="00E51519"/>
    <w:rsid w:val="00EA58F1"/>
    <w:rsid w:val="00F34DCC"/>
    <w:rsid w:val="00F61971"/>
    <w:rsid w:val="00FC26EC"/>
    <w:rsid w:val="015418FA"/>
    <w:rsid w:val="02411645"/>
    <w:rsid w:val="027038B7"/>
    <w:rsid w:val="02EC53A6"/>
    <w:rsid w:val="030B0796"/>
    <w:rsid w:val="037F3A20"/>
    <w:rsid w:val="047C1099"/>
    <w:rsid w:val="067B732C"/>
    <w:rsid w:val="06EF022D"/>
    <w:rsid w:val="088A6D89"/>
    <w:rsid w:val="08A3606B"/>
    <w:rsid w:val="0A23409D"/>
    <w:rsid w:val="0ACC242D"/>
    <w:rsid w:val="0B726322"/>
    <w:rsid w:val="0BA33A60"/>
    <w:rsid w:val="0CC64DC2"/>
    <w:rsid w:val="0CC926E2"/>
    <w:rsid w:val="0D407EDF"/>
    <w:rsid w:val="0DC7660F"/>
    <w:rsid w:val="0EAA7266"/>
    <w:rsid w:val="0F1230D8"/>
    <w:rsid w:val="0F185B9E"/>
    <w:rsid w:val="0FEF41EB"/>
    <w:rsid w:val="117179E6"/>
    <w:rsid w:val="118E5CDC"/>
    <w:rsid w:val="119D4981"/>
    <w:rsid w:val="11B53324"/>
    <w:rsid w:val="12090119"/>
    <w:rsid w:val="13045054"/>
    <w:rsid w:val="13643F26"/>
    <w:rsid w:val="141518B7"/>
    <w:rsid w:val="153C4CD0"/>
    <w:rsid w:val="1548345E"/>
    <w:rsid w:val="158A4F9E"/>
    <w:rsid w:val="161E73EB"/>
    <w:rsid w:val="16CC34A1"/>
    <w:rsid w:val="170B26D6"/>
    <w:rsid w:val="175F54D0"/>
    <w:rsid w:val="17BC3597"/>
    <w:rsid w:val="17D96BCE"/>
    <w:rsid w:val="181B2B7B"/>
    <w:rsid w:val="18363387"/>
    <w:rsid w:val="184B7468"/>
    <w:rsid w:val="185305F1"/>
    <w:rsid w:val="1A653B38"/>
    <w:rsid w:val="1AD26C63"/>
    <w:rsid w:val="1B6065EA"/>
    <w:rsid w:val="1D0942EB"/>
    <w:rsid w:val="1D310D6D"/>
    <w:rsid w:val="1D71291F"/>
    <w:rsid w:val="1E3768DA"/>
    <w:rsid w:val="1E877DD9"/>
    <w:rsid w:val="1EFA253C"/>
    <w:rsid w:val="1F6970BE"/>
    <w:rsid w:val="1FF5053C"/>
    <w:rsid w:val="212C632E"/>
    <w:rsid w:val="22C73BC4"/>
    <w:rsid w:val="230525E1"/>
    <w:rsid w:val="23AB7BB5"/>
    <w:rsid w:val="23EA3A95"/>
    <w:rsid w:val="244A31EA"/>
    <w:rsid w:val="24945338"/>
    <w:rsid w:val="24EA2D2D"/>
    <w:rsid w:val="25974BEC"/>
    <w:rsid w:val="26036898"/>
    <w:rsid w:val="26416F91"/>
    <w:rsid w:val="28686E88"/>
    <w:rsid w:val="28E4562A"/>
    <w:rsid w:val="296C21A0"/>
    <w:rsid w:val="2A140BF8"/>
    <w:rsid w:val="2B40248A"/>
    <w:rsid w:val="2B4E1984"/>
    <w:rsid w:val="2B6B0FA4"/>
    <w:rsid w:val="2B6E1DFB"/>
    <w:rsid w:val="2C1460F7"/>
    <w:rsid w:val="2CF12035"/>
    <w:rsid w:val="2D456153"/>
    <w:rsid w:val="2F3E0AF2"/>
    <w:rsid w:val="309D3943"/>
    <w:rsid w:val="31012465"/>
    <w:rsid w:val="31257A5A"/>
    <w:rsid w:val="3162793C"/>
    <w:rsid w:val="316651E0"/>
    <w:rsid w:val="320935CB"/>
    <w:rsid w:val="32097B0B"/>
    <w:rsid w:val="32161D58"/>
    <w:rsid w:val="32F32EE1"/>
    <w:rsid w:val="336F1E53"/>
    <w:rsid w:val="33967596"/>
    <w:rsid w:val="33AD70E8"/>
    <w:rsid w:val="34343E41"/>
    <w:rsid w:val="353E562C"/>
    <w:rsid w:val="35401372"/>
    <w:rsid w:val="35CF4C1B"/>
    <w:rsid w:val="35DA3D48"/>
    <w:rsid w:val="36730CF7"/>
    <w:rsid w:val="3720292C"/>
    <w:rsid w:val="379C267C"/>
    <w:rsid w:val="3A0B55F7"/>
    <w:rsid w:val="3A936290"/>
    <w:rsid w:val="3AD22664"/>
    <w:rsid w:val="3C5A2688"/>
    <w:rsid w:val="3D146DFB"/>
    <w:rsid w:val="3D1C2003"/>
    <w:rsid w:val="3E403B27"/>
    <w:rsid w:val="3E7E20AA"/>
    <w:rsid w:val="3EF34687"/>
    <w:rsid w:val="3F7350F1"/>
    <w:rsid w:val="406D693E"/>
    <w:rsid w:val="40AC3AB1"/>
    <w:rsid w:val="40DB1F04"/>
    <w:rsid w:val="41351995"/>
    <w:rsid w:val="41F95AAD"/>
    <w:rsid w:val="42406B20"/>
    <w:rsid w:val="4275024F"/>
    <w:rsid w:val="42C6602C"/>
    <w:rsid w:val="43711432"/>
    <w:rsid w:val="43866F93"/>
    <w:rsid w:val="441A332C"/>
    <w:rsid w:val="44661568"/>
    <w:rsid w:val="45D53568"/>
    <w:rsid w:val="45DE6911"/>
    <w:rsid w:val="46492EEE"/>
    <w:rsid w:val="467B67B3"/>
    <w:rsid w:val="47A622EA"/>
    <w:rsid w:val="47BE4A0F"/>
    <w:rsid w:val="48082900"/>
    <w:rsid w:val="48333FD4"/>
    <w:rsid w:val="485F7BEF"/>
    <w:rsid w:val="48BE02DD"/>
    <w:rsid w:val="4980060A"/>
    <w:rsid w:val="4991546C"/>
    <w:rsid w:val="4A1E3824"/>
    <w:rsid w:val="4B4A02C3"/>
    <w:rsid w:val="4BE15562"/>
    <w:rsid w:val="4C3B4131"/>
    <w:rsid w:val="4C7125AE"/>
    <w:rsid w:val="4CEA7639"/>
    <w:rsid w:val="4E3C21F3"/>
    <w:rsid w:val="4E4626C2"/>
    <w:rsid w:val="4E54605F"/>
    <w:rsid w:val="4EB90E96"/>
    <w:rsid w:val="4F3A38AC"/>
    <w:rsid w:val="50582503"/>
    <w:rsid w:val="50736CCE"/>
    <w:rsid w:val="51257F93"/>
    <w:rsid w:val="522A3AFC"/>
    <w:rsid w:val="52E93641"/>
    <w:rsid w:val="53540905"/>
    <w:rsid w:val="53567C5D"/>
    <w:rsid w:val="535C05B8"/>
    <w:rsid w:val="544F4400"/>
    <w:rsid w:val="545E482A"/>
    <w:rsid w:val="546B7BE9"/>
    <w:rsid w:val="54A67319"/>
    <w:rsid w:val="564E07C9"/>
    <w:rsid w:val="56733931"/>
    <w:rsid w:val="57880FF6"/>
    <w:rsid w:val="5877004F"/>
    <w:rsid w:val="5997486A"/>
    <w:rsid w:val="59BE182F"/>
    <w:rsid w:val="59DC715B"/>
    <w:rsid w:val="5A0315C7"/>
    <w:rsid w:val="5A460411"/>
    <w:rsid w:val="5A532769"/>
    <w:rsid w:val="5AA94D20"/>
    <w:rsid w:val="5B000FE2"/>
    <w:rsid w:val="5B0F07A9"/>
    <w:rsid w:val="5BED0482"/>
    <w:rsid w:val="5CBF2BBD"/>
    <w:rsid w:val="5CE02427"/>
    <w:rsid w:val="5D6E5460"/>
    <w:rsid w:val="5E13068E"/>
    <w:rsid w:val="5EFA3C2B"/>
    <w:rsid w:val="601379C8"/>
    <w:rsid w:val="60703696"/>
    <w:rsid w:val="607D247C"/>
    <w:rsid w:val="623435BA"/>
    <w:rsid w:val="63AB3E14"/>
    <w:rsid w:val="65EE0452"/>
    <w:rsid w:val="66387DEE"/>
    <w:rsid w:val="667B6FB2"/>
    <w:rsid w:val="667B7505"/>
    <w:rsid w:val="69F92025"/>
    <w:rsid w:val="6A1F6126"/>
    <w:rsid w:val="6A2D77D2"/>
    <w:rsid w:val="6A3C2630"/>
    <w:rsid w:val="6A4C691F"/>
    <w:rsid w:val="6A62595F"/>
    <w:rsid w:val="6B0B16B8"/>
    <w:rsid w:val="6D961E08"/>
    <w:rsid w:val="6DA811E0"/>
    <w:rsid w:val="6E8C019E"/>
    <w:rsid w:val="6EB078E6"/>
    <w:rsid w:val="6EF32F0C"/>
    <w:rsid w:val="6FD65EBA"/>
    <w:rsid w:val="70253C1F"/>
    <w:rsid w:val="703D15F7"/>
    <w:rsid w:val="73645CBB"/>
    <w:rsid w:val="736B1994"/>
    <w:rsid w:val="73DD2220"/>
    <w:rsid w:val="7493127F"/>
    <w:rsid w:val="74BE6014"/>
    <w:rsid w:val="74CD0C69"/>
    <w:rsid w:val="74EA4F7C"/>
    <w:rsid w:val="7533672D"/>
    <w:rsid w:val="75511DC1"/>
    <w:rsid w:val="75A27D52"/>
    <w:rsid w:val="77261221"/>
    <w:rsid w:val="77541282"/>
    <w:rsid w:val="77D92C03"/>
    <w:rsid w:val="78535F34"/>
    <w:rsid w:val="7916016E"/>
    <w:rsid w:val="79171DEA"/>
    <w:rsid w:val="7A470630"/>
    <w:rsid w:val="7B167C71"/>
    <w:rsid w:val="7B49135A"/>
    <w:rsid w:val="7C1B733B"/>
    <w:rsid w:val="7CAB4A33"/>
    <w:rsid w:val="7D093494"/>
    <w:rsid w:val="7E996184"/>
    <w:rsid w:val="7ED369CF"/>
    <w:rsid w:val="7FC16BBE"/>
    <w:rsid w:val="7FF104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ng-binding"/>
    <w:basedOn w:val="7"/>
    <w:qFormat/>
    <w:uiPriority w:val="0"/>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2">
    <w:name w:val="正文格式"/>
    <w:basedOn w:val="1"/>
    <w:qFormat/>
    <w:uiPriority w:val="0"/>
    <w:pPr>
      <w:widowControl/>
      <w:spacing w:line="580" w:lineRule="exact"/>
      <w:ind w:firstLine="640" w:firstLineChars="200"/>
    </w:pPr>
    <w:rPr>
      <w:rFonts w:ascii="仿宋_GB2312" w:hAnsi="Calibri"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38</Pages>
  <Words>4713</Words>
  <Characters>26870</Characters>
  <Lines>223</Lines>
  <Paragraphs>63</Paragraphs>
  <TotalTime>39</TotalTime>
  <ScaleCrop>false</ScaleCrop>
  <LinksUpToDate>false</LinksUpToDate>
  <CharactersWithSpaces>31520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kjjbm</dc:creator>
  <cp:lastModifiedBy>孔照哲</cp:lastModifiedBy>
  <cp:lastPrinted>2020-12-21T08:24:00Z</cp:lastPrinted>
  <dcterms:modified xsi:type="dcterms:W3CDTF">2021-04-19T07:44:22Z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B3EFEE87F8AE4115A2A2C83BEC09157A</vt:lpwstr>
  </property>
</Properties>
</file>