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0" w:firstLineChars="200"/>
        <w:jc w:val="left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2021年项目型创新联合体牵头企业名单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浙江浙大中控信息技术有限公司、浙江中控技术股份有限公司、领航基因科技（杭州）有限公司、浙江杭化新材料科技有限公司、阿里巴巴达摩院（杭州）科技有限公司、杭州海康威视数字技术股份有限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公司。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WE3ODgwZDQwMTlkNTFjNTYzZWVjMGU1MmQ4YTkifQ=="/>
  </w:docVars>
  <w:rsids>
    <w:rsidRoot w:val="3B4F3D59"/>
    <w:rsid w:val="3B4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2022-11-16T03:24:00Z</dcterms:created>
  <dc:creator>又四</dc:creator>
  <cp:lastModifiedBy>又四</cp:lastModifiedBy>
  <dcterms:modified xsi:type="dcterms:W3CDTF">2022-11-16T03:24:29Z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7910359880CE48C089587B6D6EC5E883</vt:lpwstr>
  </property>
</Properties>
</file>