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7CF" w:rsidRDefault="008E6E76" w:rsidP="000A7C26">
      <w:pPr>
        <w:adjustRightInd w:val="0"/>
        <w:snapToGrid w:val="0"/>
        <w:spacing w:beforeLines="100" w:line="240" w:lineRule="atLeast"/>
        <w:jc w:val="center"/>
        <w:outlineLvl w:val="0"/>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2021年滨江区义务教育优质均衡发展自评报告</w:t>
      </w:r>
    </w:p>
    <w:p w:rsidR="001727CF" w:rsidRDefault="008E6E76">
      <w:pPr>
        <w:adjustRightInd w:val="0"/>
        <w:snapToGrid w:val="0"/>
        <w:spacing w:line="600" w:lineRule="exact"/>
        <w:jc w:val="center"/>
        <w:outlineLvl w:val="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杭州市滨江区人民政府</w:t>
      </w:r>
    </w:p>
    <w:p w:rsidR="001727CF" w:rsidRDefault="008E6E76">
      <w:pPr>
        <w:adjustRightInd w:val="0"/>
        <w:snapToGrid w:val="0"/>
        <w:spacing w:line="600" w:lineRule="exact"/>
        <w:jc w:val="center"/>
        <w:outlineLvl w:val="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2021年11月15日</w:t>
      </w:r>
    </w:p>
    <w:p w:rsidR="001727CF" w:rsidRDefault="001727CF">
      <w:pPr>
        <w:spacing w:line="580" w:lineRule="exact"/>
        <w:ind w:firstLineChars="200" w:firstLine="640"/>
        <w:rPr>
          <w:rFonts w:ascii="仿宋_GB2312" w:eastAsia="仿宋_GB2312" w:hAnsi="仿宋_GB2312" w:cs="仿宋_GB2312"/>
          <w:bCs/>
          <w:sz w:val="32"/>
          <w:szCs w:val="32"/>
        </w:rPr>
      </w:pPr>
    </w:p>
    <w:p w:rsidR="001727CF" w:rsidRDefault="008E6E76">
      <w:pPr>
        <w:adjustRightInd w:val="0"/>
        <w:snapToGrid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根据《 浙江省人民政府教育督导委员会办公室关于申请认定全国义务教育优质均衡发展县（市、区）有关工作的通知》（</w:t>
      </w:r>
      <w:r>
        <w:rPr>
          <w:rFonts w:ascii="仿宋_GB2312" w:eastAsia="仿宋_GB2312" w:hAnsi="Times New Roman" w:hint="eastAsia"/>
          <w:sz w:val="32"/>
          <w:szCs w:val="32"/>
        </w:rPr>
        <w:t>浙政教督办〔2017〕18号）</w:t>
      </w:r>
      <w:r>
        <w:rPr>
          <w:rFonts w:ascii="仿宋_GB2312" w:eastAsia="仿宋_GB2312" w:hAnsi="仿宋_GB2312" w:cs="仿宋_GB2312" w:hint="eastAsia"/>
          <w:bCs/>
          <w:sz w:val="32"/>
          <w:szCs w:val="32"/>
        </w:rPr>
        <w:t>要求，我区开展2021年义务教育优质均衡发展情况自查，现将具体情况汇报如下。</w:t>
      </w:r>
    </w:p>
    <w:p w:rsidR="001727CF" w:rsidRDefault="008E6E76">
      <w:pPr>
        <w:adjustRightInd w:val="0"/>
        <w:snapToGrid w:val="0"/>
        <w:spacing w:line="60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一、教育基本情况</w:t>
      </w:r>
    </w:p>
    <w:p w:rsidR="001727CF" w:rsidRDefault="008E6E76">
      <w:pPr>
        <w:adjustRightInd w:val="0"/>
        <w:snapToGrid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高新区（滨江）以习近平新时代中国特色社会主义思想为指引，深入贯彻党的教育方针，落实教育优先发展战略，教育事业取得较好的成绩，2014年被认定为“全国义务教育基本均衡发展区”，2016年被认定为“浙江省教育基本现代化区”，2020、2021年教育现代化发展水平监测指数分别位列全省第二名、第一名，2020年政府履行教育职责高分获得A等，通过全国学前教育普及普惠区验收。</w:t>
      </w:r>
    </w:p>
    <w:p w:rsidR="001727CF" w:rsidRDefault="008E6E76">
      <w:pPr>
        <w:adjustRightInd w:val="0"/>
        <w:snapToGrid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截至2021年，全区现有义务段学校29所（31个校区），含九年一贯制学校6所（3所公办、3所民办）、初级中学7所、小学16所。中小学在校生共41179人，其中小学生31358人，中学生9821人；义务段共有专任教师2987人，其中小学1850人，中学1137人。</w:t>
      </w:r>
    </w:p>
    <w:p w:rsidR="001727CF" w:rsidRDefault="008E6E76">
      <w:pPr>
        <w:adjustRightInd w:val="0"/>
        <w:snapToGrid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滨江区</w:t>
      </w:r>
      <w:r>
        <w:rPr>
          <w:rFonts w:ascii="仿宋_GB2312" w:eastAsia="仿宋_GB2312" w:hAnsi="仿宋_GB2312" w:cs="仿宋_GB2312" w:hint="eastAsia"/>
          <w:sz w:val="32"/>
          <w:szCs w:val="32"/>
        </w:rPr>
        <w:t>以“建设教育创新生态，打造美好教育新高地”为主</w:t>
      </w:r>
      <w:r>
        <w:rPr>
          <w:rFonts w:ascii="仿宋_GB2312" w:eastAsia="仿宋_GB2312" w:hAnsi="仿宋_GB2312" w:cs="仿宋_GB2312" w:hint="eastAsia"/>
          <w:sz w:val="32"/>
          <w:szCs w:val="32"/>
        </w:rPr>
        <w:lastRenderedPageBreak/>
        <w:t>线，对标一流，</w:t>
      </w:r>
      <w:r>
        <w:rPr>
          <w:rFonts w:ascii="仿宋_GB2312" w:eastAsia="仿宋_GB2312" w:hAnsi="仿宋_GB2312" w:cs="仿宋_GB2312" w:hint="eastAsia"/>
          <w:kern w:val="0"/>
          <w:sz w:val="32"/>
          <w:szCs w:val="32"/>
        </w:rPr>
        <w:t>聚焦高质量发展，深化教育改革，全力推进基础教育发展，</w:t>
      </w:r>
      <w:r>
        <w:rPr>
          <w:rFonts w:ascii="仿宋_GB2312" w:eastAsia="仿宋_GB2312" w:hAnsi="仿宋_GB2312" w:cs="仿宋_GB2312" w:hint="eastAsia"/>
          <w:bCs/>
          <w:sz w:val="32"/>
          <w:szCs w:val="32"/>
        </w:rPr>
        <w:t>把义务教育优质均衡发展列为区政府民生实事项目，努力为人民交出一份满意的教育答卷。</w:t>
      </w:r>
    </w:p>
    <w:p w:rsidR="001727CF" w:rsidRDefault="008E6E76">
      <w:pPr>
        <w:adjustRightInd w:val="0"/>
        <w:snapToGrid w:val="0"/>
        <w:spacing w:line="60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二、主要举措</w:t>
      </w:r>
    </w:p>
    <w:p w:rsidR="001727CF" w:rsidRDefault="008E6E76" w:rsidP="00786761">
      <w:pPr>
        <w:adjustRightInd w:val="0"/>
        <w:snapToGrid w:val="0"/>
        <w:spacing w:line="600" w:lineRule="exact"/>
        <w:ind w:firstLineChars="200" w:firstLine="640"/>
        <w:rPr>
          <w:rFonts w:ascii="楷体_GB2312" w:eastAsia="楷体_GB2312" w:hAnsi="仿宋_GB2312" w:cs="仿宋_GB2312"/>
          <w:b/>
          <w:sz w:val="32"/>
          <w:szCs w:val="32"/>
        </w:rPr>
      </w:pPr>
      <w:r>
        <w:rPr>
          <w:rFonts w:ascii="楷体_GB2312" w:eastAsia="楷体_GB2312" w:hAnsi="仿宋_GB2312" w:cs="仿宋_GB2312" w:hint="eastAsia"/>
          <w:b/>
          <w:sz w:val="32"/>
          <w:szCs w:val="32"/>
        </w:rPr>
        <w:t>（一）高标准落实教育保障</w:t>
      </w:r>
    </w:p>
    <w:p w:rsidR="001727CF" w:rsidRDefault="008E6E76">
      <w:pPr>
        <w:adjustRightInd w:val="0"/>
        <w:snapToGrid w:val="0"/>
        <w:spacing w:line="60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sz w:val="32"/>
          <w:szCs w:val="32"/>
        </w:rPr>
        <w:t>1．规划优先，保障学校资源供给。</w:t>
      </w:r>
      <w:r>
        <w:rPr>
          <w:rFonts w:ascii="仿宋_GB2312" w:eastAsia="仿宋_GB2312" w:hAnsi="仿宋_GB2312" w:cs="仿宋_GB2312" w:hint="eastAsia"/>
          <w:b/>
          <w:bCs/>
          <w:kern w:val="0"/>
          <w:sz w:val="32"/>
          <w:szCs w:val="32"/>
        </w:rPr>
        <w:t>一是教育发展高标准引领</w:t>
      </w:r>
      <w:r>
        <w:rPr>
          <w:rFonts w:ascii="仿宋_GB2312" w:eastAsia="仿宋_GB2312" w:hAnsi="仿宋_GB2312" w:cs="仿宋_GB2312" w:hint="eastAsia"/>
          <w:kern w:val="0"/>
          <w:sz w:val="32"/>
          <w:szCs w:val="32"/>
        </w:rPr>
        <w:t>。出台《关于建设教育创新生态，打造美好教育新高地的实施意见》《高新区（滨江）校（园）建设行动计划》（</w:t>
      </w:r>
      <w:r>
        <w:rPr>
          <w:rFonts w:ascii="仿宋_GB2312" w:eastAsia="仿宋_GB2312" w:hAnsi="Times New Roman" w:cs="Times New Roman" w:hint="eastAsia"/>
          <w:kern w:val="0"/>
          <w:sz w:val="32"/>
          <w:szCs w:val="32"/>
        </w:rPr>
        <w:t>2020</w:t>
      </w:r>
      <w:r>
        <w:rPr>
          <w:rFonts w:ascii="仿宋_GB2312" w:eastAsia="仿宋_GB2312" w:hAnsi="仿宋_GB2312" w:cs="仿宋_GB2312" w:hint="eastAsia"/>
          <w:kern w:val="0"/>
          <w:sz w:val="32"/>
          <w:szCs w:val="32"/>
        </w:rPr>
        <w:t>-</w:t>
      </w:r>
      <w:r>
        <w:rPr>
          <w:rFonts w:ascii="仿宋_GB2312" w:eastAsia="仿宋_GB2312" w:hAnsi="Times New Roman" w:cs="Times New Roman" w:hint="eastAsia"/>
          <w:kern w:val="0"/>
          <w:sz w:val="32"/>
          <w:szCs w:val="32"/>
        </w:rPr>
        <w:t>2022</w:t>
      </w:r>
      <w:r>
        <w:rPr>
          <w:rFonts w:ascii="仿宋_GB2312" w:eastAsia="仿宋_GB2312" w:hAnsi="仿宋_GB2312" w:cs="仿宋_GB2312" w:hint="eastAsia"/>
          <w:kern w:val="0"/>
          <w:sz w:val="32"/>
          <w:szCs w:val="32"/>
        </w:rPr>
        <w:t>年）等文件，优化教育资源布局，推动教育高质量发展。</w:t>
      </w:r>
      <w:r>
        <w:rPr>
          <w:rFonts w:ascii="仿宋_GB2312" w:eastAsia="仿宋_GB2312" w:hAnsi="仿宋_GB2312" w:cs="仿宋_GB2312" w:hint="eastAsia"/>
          <w:b/>
          <w:bCs/>
          <w:kern w:val="0"/>
          <w:sz w:val="32"/>
          <w:szCs w:val="32"/>
        </w:rPr>
        <w:t>二是资源布局高标准规划。</w:t>
      </w:r>
      <w:r>
        <w:rPr>
          <w:rFonts w:ascii="仿宋_GB2312" w:eastAsia="仿宋_GB2312" w:hAnsi="仿宋_GB2312" w:cs="仿宋_GB2312" w:hint="eastAsia"/>
          <w:kern w:val="0"/>
          <w:sz w:val="32"/>
          <w:szCs w:val="32"/>
        </w:rPr>
        <w:t>建立教育布局规划的动态调整和优化机制，完善教育布点专项规划，适时提高规划百户比标准。</w:t>
      </w:r>
      <w:r>
        <w:rPr>
          <w:rFonts w:ascii="仿宋_GB2312" w:eastAsia="仿宋_GB2312" w:hAnsi="仿宋_GB2312" w:cs="仿宋_GB2312" w:hint="eastAsia"/>
          <w:b/>
          <w:bCs/>
          <w:kern w:val="0"/>
          <w:sz w:val="32"/>
          <w:szCs w:val="32"/>
        </w:rPr>
        <w:t>三是校园建设全速度。</w:t>
      </w:r>
      <w:r>
        <w:rPr>
          <w:rFonts w:ascii="仿宋_GB2312" w:eastAsia="仿宋_GB2312" w:hAnsi="仿宋_GB2312" w:cs="仿宋_GB2312" w:hint="eastAsia"/>
          <w:kern w:val="0"/>
          <w:sz w:val="32"/>
          <w:szCs w:val="32"/>
        </w:rPr>
        <w:t>成立区校园建设工作领导小组，组建校园建设项目前期办，优化校园建设机制，建立月例会制，制定《杭州市滨江区校园建设标准》（试行）。</w:t>
      </w:r>
      <w:r>
        <w:rPr>
          <w:rFonts w:ascii="仿宋_GB2312" w:eastAsia="仿宋_GB2312" w:hAnsi="Times New Roman" w:cs="Times New Roman" w:hint="eastAsia"/>
          <w:kern w:val="0"/>
          <w:sz w:val="32"/>
          <w:szCs w:val="32"/>
        </w:rPr>
        <w:t>5</w:t>
      </w:r>
      <w:r>
        <w:rPr>
          <w:rFonts w:ascii="仿宋_GB2312" w:eastAsia="仿宋_GB2312" w:hAnsi="仿宋_GB2312" w:cs="仿宋_GB2312" w:hint="eastAsia"/>
          <w:kern w:val="0"/>
          <w:sz w:val="32"/>
          <w:szCs w:val="32"/>
        </w:rPr>
        <w:t>年来投用幼儿园</w:t>
      </w:r>
      <w:r>
        <w:rPr>
          <w:rFonts w:ascii="仿宋_GB2312" w:eastAsia="仿宋_GB2312" w:hAnsi="Times New Roman" w:cs="Times New Roman" w:hint="eastAsia"/>
          <w:kern w:val="0"/>
          <w:sz w:val="32"/>
          <w:szCs w:val="32"/>
        </w:rPr>
        <w:t>11</w:t>
      </w:r>
      <w:r>
        <w:rPr>
          <w:rFonts w:ascii="仿宋_GB2312" w:eastAsia="仿宋_GB2312" w:hAnsi="仿宋_GB2312" w:cs="仿宋_GB2312" w:hint="eastAsia"/>
          <w:kern w:val="0"/>
          <w:sz w:val="32"/>
          <w:szCs w:val="32"/>
        </w:rPr>
        <w:t>所，中小学</w:t>
      </w:r>
      <w:r>
        <w:rPr>
          <w:rFonts w:ascii="仿宋_GB2312" w:eastAsia="仿宋_GB2312" w:hAnsi="Times New Roman" w:cs="Times New Roman" w:hint="eastAsia"/>
          <w:kern w:val="0"/>
          <w:sz w:val="32"/>
          <w:szCs w:val="32"/>
        </w:rPr>
        <w:t>9</w:t>
      </w:r>
      <w:r>
        <w:rPr>
          <w:rFonts w:ascii="仿宋_GB2312" w:eastAsia="仿宋_GB2312" w:hAnsi="仿宋_GB2312" w:cs="仿宋_GB2312" w:hint="eastAsia"/>
          <w:kern w:val="0"/>
          <w:sz w:val="32"/>
          <w:szCs w:val="32"/>
        </w:rPr>
        <w:t>所，</w:t>
      </w:r>
      <w:r>
        <w:rPr>
          <w:rFonts w:ascii="仿宋_GB2312" w:eastAsia="仿宋_GB2312" w:hAnsi="Times New Roman" w:cs="Times New Roman" w:hint="eastAsia"/>
          <w:kern w:val="0"/>
          <w:sz w:val="32"/>
          <w:szCs w:val="32"/>
        </w:rPr>
        <w:t>2021</w:t>
      </w:r>
      <w:r>
        <w:rPr>
          <w:rFonts w:ascii="仿宋_GB2312" w:eastAsia="仿宋_GB2312" w:hAnsi="仿宋_GB2312" w:cs="仿宋_GB2312" w:hint="eastAsia"/>
          <w:kern w:val="0"/>
          <w:sz w:val="32"/>
          <w:szCs w:val="32"/>
        </w:rPr>
        <w:t>年投用</w:t>
      </w:r>
      <w:r>
        <w:rPr>
          <w:rFonts w:ascii="仿宋_GB2312" w:eastAsia="仿宋_GB2312" w:hAnsi="Times New Roman" w:cs="Times New Roman" w:hint="eastAsia"/>
          <w:kern w:val="0"/>
          <w:sz w:val="32"/>
          <w:szCs w:val="32"/>
        </w:rPr>
        <w:t>3</w:t>
      </w:r>
      <w:r>
        <w:rPr>
          <w:rFonts w:ascii="仿宋_GB2312" w:eastAsia="仿宋_GB2312" w:hAnsi="仿宋_GB2312" w:cs="仿宋_GB2312" w:hint="eastAsia"/>
          <w:kern w:val="0"/>
          <w:sz w:val="32"/>
          <w:szCs w:val="32"/>
        </w:rPr>
        <w:t>个，完工</w:t>
      </w:r>
      <w:r>
        <w:rPr>
          <w:rFonts w:ascii="仿宋_GB2312" w:eastAsia="仿宋_GB2312" w:hAnsi="Times New Roman" w:cs="Times New Roman" w:hint="eastAsia"/>
          <w:kern w:val="0"/>
          <w:sz w:val="32"/>
          <w:szCs w:val="32"/>
        </w:rPr>
        <w:t>4</w:t>
      </w:r>
      <w:r>
        <w:rPr>
          <w:rFonts w:ascii="仿宋_GB2312" w:eastAsia="仿宋_GB2312" w:hAnsi="仿宋_GB2312" w:cs="仿宋_GB2312" w:hint="eastAsia"/>
          <w:kern w:val="0"/>
          <w:sz w:val="32"/>
          <w:szCs w:val="32"/>
        </w:rPr>
        <w:t>个,续建</w:t>
      </w:r>
      <w:r>
        <w:rPr>
          <w:rFonts w:ascii="仿宋_GB2312" w:eastAsia="仿宋_GB2312" w:hAnsi="Times New Roman" w:cs="Times New Roman" w:hint="eastAsia"/>
          <w:kern w:val="0"/>
          <w:sz w:val="32"/>
          <w:szCs w:val="32"/>
        </w:rPr>
        <w:t>3</w:t>
      </w:r>
      <w:r>
        <w:rPr>
          <w:rFonts w:ascii="仿宋_GB2312" w:eastAsia="仿宋_GB2312" w:hAnsi="仿宋_GB2312" w:cs="仿宋_GB2312" w:hint="eastAsia"/>
          <w:kern w:val="0"/>
          <w:sz w:val="32"/>
          <w:szCs w:val="32"/>
        </w:rPr>
        <w:t>个，开工</w:t>
      </w:r>
      <w:r>
        <w:rPr>
          <w:rFonts w:ascii="仿宋_GB2312" w:eastAsia="仿宋_GB2312" w:hAnsi="Times New Roman" w:cs="Times New Roman" w:hint="eastAsia"/>
          <w:kern w:val="0"/>
          <w:sz w:val="32"/>
          <w:szCs w:val="32"/>
        </w:rPr>
        <w:t>14</w:t>
      </w:r>
      <w:r>
        <w:rPr>
          <w:rFonts w:ascii="仿宋_GB2312" w:eastAsia="仿宋_GB2312" w:hAnsi="仿宋_GB2312" w:cs="仿宋_GB2312" w:hint="eastAsia"/>
          <w:kern w:val="0"/>
          <w:sz w:val="32"/>
          <w:szCs w:val="32"/>
        </w:rPr>
        <w:t>个。全面启动老学校改扩建工程。</w:t>
      </w:r>
    </w:p>
    <w:p w:rsidR="001727CF" w:rsidRDefault="008E6E76">
      <w:pPr>
        <w:adjustRightInd w:val="0"/>
        <w:snapToGrid w:val="0"/>
        <w:spacing w:line="60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sz w:val="32"/>
          <w:szCs w:val="32"/>
        </w:rPr>
        <w:t>2．财政优先，保障教育法定增长。一是</w:t>
      </w:r>
      <w:r>
        <w:rPr>
          <w:rFonts w:ascii="仿宋_GB2312" w:eastAsia="仿宋_GB2312" w:hAnsi="仿宋_GB2312" w:cs="仿宋_GB2312" w:hint="eastAsia"/>
          <w:b/>
          <w:kern w:val="0"/>
          <w:sz w:val="32"/>
          <w:szCs w:val="32"/>
        </w:rPr>
        <w:t>教育经费高标准保障。</w:t>
      </w:r>
      <w:r>
        <w:rPr>
          <w:rFonts w:ascii="仿宋_GB2312" w:eastAsia="仿宋_GB2312" w:hAnsi="仿宋_GB2312" w:cs="仿宋_GB2312" w:hint="eastAsia"/>
          <w:kern w:val="0"/>
          <w:sz w:val="32"/>
          <w:szCs w:val="32"/>
        </w:rPr>
        <w:t>财政投入逐年递增，各类教育经费按期足额拨付，生均拨付标准处于全省领先水平。2020年全区一般公共预算教育经费达27.21亿元，比2019年增长2.6%；一般公共预算教育事业费，初中、小学分别达到生均65746、37915元，分别比上年增长13.27%、10.71%；</w:t>
      </w:r>
      <w:r>
        <w:rPr>
          <w:rFonts w:ascii="仿宋_GB2312" w:eastAsia="仿宋_GB2312" w:hAnsi="仿宋_GB2312" w:cs="仿宋_GB2312" w:hint="eastAsia"/>
          <w:b/>
          <w:bCs/>
          <w:kern w:val="0"/>
          <w:sz w:val="32"/>
          <w:szCs w:val="32"/>
        </w:rPr>
        <w:t>二是教师待遇率先保障。</w:t>
      </w:r>
      <w:r>
        <w:rPr>
          <w:rFonts w:ascii="仿宋_GB2312" w:eastAsia="仿宋_GB2312" w:hAnsi="仿宋_GB2312" w:cs="仿宋_GB2312" w:hint="eastAsia"/>
          <w:kern w:val="0"/>
          <w:sz w:val="32"/>
          <w:szCs w:val="32"/>
        </w:rPr>
        <w:t>率先实现义务教育段教师高于</w:t>
      </w:r>
      <w:r>
        <w:rPr>
          <w:rFonts w:ascii="仿宋_GB2312" w:eastAsia="仿宋_GB2312" w:hAnsi="仿宋_GB2312" w:cs="仿宋_GB2312" w:hint="eastAsia"/>
          <w:kern w:val="0"/>
          <w:sz w:val="32"/>
          <w:szCs w:val="32"/>
        </w:rPr>
        <w:lastRenderedPageBreak/>
        <w:t>公务员，全体教师收入水平全省领先；同时，建立义务教育教师工资与当地公务员工资长效联动机制、教育经费逐年增长机制。优化荣誉推荐制度，加大奖励力度，制定关怀教师行动方案，</w:t>
      </w:r>
      <w:r>
        <w:rPr>
          <w:rFonts w:ascii="仿宋_GB2312" w:eastAsia="仿宋_GB2312" w:hAnsi="仿宋_GB2312" w:cs="仿宋_GB2312" w:hint="eastAsia"/>
          <w:bCs/>
          <w:sz w:val="32"/>
          <w:szCs w:val="32"/>
        </w:rPr>
        <w:t>全国首推教师码为教师提供服务，</w:t>
      </w:r>
      <w:r>
        <w:rPr>
          <w:rFonts w:ascii="仿宋_GB2312" w:eastAsia="仿宋_GB2312" w:hAnsi="仿宋_GB2312" w:cs="仿宋_GB2312" w:hint="eastAsia"/>
          <w:kern w:val="0"/>
          <w:sz w:val="32"/>
          <w:szCs w:val="32"/>
        </w:rPr>
        <w:t>建设101套青年教师公寓。</w:t>
      </w:r>
    </w:p>
    <w:p w:rsidR="001727CF" w:rsidRDefault="008E6E76">
      <w:pPr>
        <w:adjustRightInd w:val="0"/>
        <w:snapToGrid w:val="0"/>
        <w:spacing w:line="60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3．队伍优先，保障教育服务质量。一是教师编制保障。</w:t>
      </w:r>
      <w:r>
        <w:rPr>
          <w:rFonts w:ascii="仿宋_GB2312" w:eastAsia="仿宋_GB2312" w:hAnsi="仿宋_GB2312" w:cs="仿宋_GB2312" w:hint="eastAsia"/>
          <w:bCs/>
          <w:sz w:val="32"/>
          <w:szCs w:val="32"/>
        </w:rPr>
        <w:t>全区各级各类教师及工作人员配比均达成省定标准。2021年全区小学生师比16.95:1；初中生师比8.64:1。</w:t>
      </w:r>
      <w:r>
        <w:rPr>
          <w:rFonts w:ascii="仿宋_GB2312" w:eastAsia="仿宋_GB2312" w:hAnsi="仿宋_GB2312" w:cs="仿宋_GB2312" w:hint="eastAsia"/>
          <w:b/>
          <w:sz w:val="32"/>
          <w:szCs w:val="32"/>
        </w:rPr>
        <w:t>二是优化引才工程。</w:t>
      </w:r>
      <w:r>
        <w:rPr>
          <w:rFonts w:ascii="仿宋_GB2312" w:eastAsia="仿宋_GB2312" w:hAnsi="仿宋_GB2312" w:cs="仿宋_GB2312" w:hint="eastAsia"/>
          <w:bCs/>
          <w:sz w:val="32"/>
          <w:szCs w:val="32"/>
        </w:rPr>
        <w:t>在保障教师编制的同时，严格落实教师资格准入制度、创新人才引进办法、完善教师激励机制，全面促进教师专业发展。全区中学、小学教师研究生学历分别达23.2%、16.8%。开展“雁阵计划”，完善“卓越人才”培养体系。</w:t>
      </w:r>
      <w:r>
        <w:rPr>
          <w:rFonts w:ascii="仿宋_GB2312" w:eastAsia="仿宋_GB2312" w:hAnsi="仿宋_GB2312" w:cs="仿宋_GB2312" w:hint="eastAsia"/>
          <w:b/>
          <w:sz w:val="32"/>
          <w:szCs w:val="32"/>
        </w:rPr>
        <w:t>三是推动教育研究院改革。</w:t>
      </w:r>
      <w:r>
        <w:rPr>
          <w:rFonts w:ascii="仿宋_GB2312" w:eastAsia="仿宋_GB2312" w:hAnsi="仿宋_GB2312" w:cs="仿宋_GB2312" w:hint="eastAsia"/>
          <w:bCs/>
          <w:sz w:val="32"/>
          <w:szCs w:val="32"/>
        </w:rPr>
        <w:t>成立教育研究院并增加教研员编制，给教师发展提供强大支撑。与“华东师范大学”“北京师范大学”等高校建立合作机制，加强对培训者培训。推出同伴互助式培训、研究员服务进校园等研训模式。</w:t>
      </w:r>
      <w:r>
        <w:rPr>
          <w:rFonts w:ascii="仿宋_GB2312" w:eastAsia="仿宋_GB2312" w:hAnsi="仿宋_GB2312" w:cs="仿宋_GB2312" w:hint="eastAsia"/>
          <w:kern w:val="0"/>
          <w:sz w:val="32"/>
          <w:szCs w:val="32"/>
        </w:rPr>
        <w:t>“白马湖之秋”全省新课堂研训活动已经持续多年，成为全省新课改的品牌活动，每年吸引全省优秀教师来滨江参加活动。</w:t>
      </w:r>
    </w:p>
    <w:p w:rsidR="001727CF" w:rsidRDefault="008E6E76" w:rsidP="00786761">
      <w:pPr>
        <w:adjustRightInd w:val="0"/>
        <w:snapToGrid w:val="0"/>
        <w:spacing w:line="600" w:lineRule="exact"/>
        <w:ind w:firstLineChars="200" w:firstLine="640"/>
        <w:rPr>
          <w:rFonts w:ascii="楷体_GB2312" w:eastAsia="楷体_GB2312" w:hAnsi="仿宋_GB2312" w:cs="仿宋_GB2312"/>
          <w:b/>
          <w:sz w:val="32"/>
          <w:szCs w:val="32"/>
        </w:rPr>
      </w:pPr>
      <w:r>
        <w:rPr>
          <w:rFonts w:ascii="楷体_GB2312" w:eastAsia="楷体_GB2312" w:hAnsi="仿宋_GB2312" w:cs="仿宋_GB2312" w:hint="eastAsia"/>
          <w:b/>
          <w:sz w:val="32"/>
          <w:szCs w:val="32"/>
        </w:rPr>
        <w:t>（二）高密度推进集团化办学</w:t>
      </w:r>
    </w:p>
    <w:p w:rsidR="001727CF" w:rsidRDefault="008E6E76">
      <w:pPr>
        <w:adjustRightInd w:val="0"/>
        <w:snapToGrid w:val="0"/>
        <w:spacing w:line="60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1．加强顶层设计。</w:t>
      </w:r>
      <w:r>
        <w:rPr>
          <w:rFonts w:ascii="仿宋_GB2312" w:eastAsia="仿宋_GB2312" w:hAnsi="仿宋_GB2312" w:cs="仿宋_GB2312" w:hint="eastAsia"/>
          <w:kern w:val="0"/>
          <w:sz w:val="32"/>
          <w:szCs w:val="32"/>
        </w:rPr>
        <w:t>提出“让每一所学校都优质”行动计划，通过实施新名校集团化、引进优质教育品牌、消除教育洼地等方式，推进优质教育全域化。成立杭州二中白马湖学校、江南实验学校等</w:t>
      </w:r>
      <w:r>
        <w:rPr>
          <w:rFonts w:ascii="仿宋_GB2312" w:eastAsia="仿宋_GB2312" w:hAnsi="Times New Roman" w:cs="Times New Roman" w:hint="eastAsia"/>
          <w:kern w:val="0"/>
          <w:sz w:val="32"/>
          <w:szCs w:val="32"/>
        </w:rPr>
        <w:t>10</w:t>
      </w:r>
      <w:r>
        <w:rPr>
          <w:rFonts w:ascii="仿宋_GB2312" w:eastAsia="仿宋_GB2312" w:hAnsi="仿宋_GB2312" w:cs="仿宋_GB2312" w:hint="eastAsia"/>
          <w:kern w:val="0"/>
          <w:sz w:val="32"/>
          <w:szCs w:val="32"/>
        </w:rPr>
        <w:t>个教育集团，落户杭州竺可桢学校、杭州硅谷学校。停办长一幼儿园、滨虹学校等低端民办学校。基本形成“优质公办</w:t>
      </w:r>
      <w:r>
        <w:rPr>
          <w:rFonts w:ascii="仿宋_GB2312" w:eastAsia="仿宋_GB2312" w:hAnsi="仿宋_GB2312" w:cs="仿宋_GB2312" w:hint="eastAsia"/>
          <w:kern w:val="0"/>
          <w:sz w:val="32"/>
          <w:szCs w:val="32"/>
        </w:rPr>
        <w:lastRenderedPageBreak/>
        <w:t>学校作保障，品质民办学校作补充”的学前和义务教育新格局。</w:t>
      </w:r>
    </w:p>
    <w:p w:rsidR="001727CF" w:rsidRDefault="008E6E76">
      <w:pPr>
        <w:adjustRightInd w:val="0"/>
        <w:snapToGrid w:val="0"/>
        <w:spacing w:line="60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2．拉动资源重组。</w:t>
      </w:r>
      <w:r>
        <w:rPr>
          <w:rFonts w:ascii="仿宋_GB2312" w:eastAsia="仿宋_GB2312" w:hAnsi="仿宋_GB2312" w:cs="仿宋_GB2312" w:hint="eastAsia"/>
          <w:kern w:val="0"/>
          <w:sz w:val="32"/>
          <w:szCs w:val="32"/>
        </w:rPr>
        <w:t>全区</w:t>
      </w:r>
      <w:r>
        <w:rPr>
          <w:rFonts w:ascii="仿宋_GB2312" w:eastAsia="仿宋_GB2312" w:hAnsi="仿宋_GB2312" w:cs="仿宋_GB2312" w:hint="eastAsia"/>
          <w:bCs/>
          <w:sz w:val="32"/>
          <w:szCs w:val="32"/>
        </w:rPr>
        <w:t>29所中小学全部纳入集团化办学，通过名校带新校、强校带弱校、研究院带领学校等方式，缩短新建学校的成长周期，带动薄弱学校快速发展。集团内部通过校长相互兼任,副校长、干部互通交流，教师走教支教，师徒结对、同步教研等帮带指导活动，促进资源重组共享，焕发薄弱学校生机，实现优质校品牌输出、文化迁移共融。</w:t>
      </w:r>
    </w:p>
    <w:p w:rsidR="001727CF" w:rsidRDefault="008E6E76">
      <w:pPr>
        <w:adjustRightInd w:val="0"/>
        <w:snapToGrid w:val="0"/>
        <w:spacing w:line="60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3．培育发展活力。</w:t>
      </w:r>
      <w:r>
        <w:rPr>
          <w:rFonts w:ascii="仿宋_GB2312" w:eastAsia="仿宋_GB2312" w:hAnsi="仿宋_GB2312" w:cs="仿宋_GB2312" w:hint="eastAsia"/>
          <w:bCs/>
          <w:sz w:val="32"/>
          <w:szCs w:val="32"/>
        </w:rPr>
        <w:t>实施“区管集团用”教师管理制度，赋予集团教师编制统筹使用权，教育局通过学校综合考核、教师职称评定、教师评优评先等方式鼓励教师集团内外流动，激发了教师流动积极性。同时，教育局设立集团化发展奖励资金，对教育集团、核心校校长、教师实施贡献奖励，进一步激发集团办学活力。</w:t>
      </w:r>
    </w:p>
    <w:p w:rsidR="001727CF" w:rsidRDefault="008E6E76" w:rsidP="00786761">
      <w:pPr>
        <w:adjustRightInd w:val="0"/>
        <w:snapToGrid w:val="0"/>
        <w:spacing w:line="600" w:lineRule="exact"/>
        <w:ind w:firstLineChars="200" w:firstLine="640"/>
        <w:rPr>
          <w:rFonts w:ascii="楷体_GB2312" w:eastAsia="楷体_GB2312" w:hAnsi="仿宋_GB2312" w:cs="仿宋_GB2312"/>
          <w:b/>
          <w:sz w:val="32"/>
          <w:szCs w:val="32"/>
        </w:rPr>
      </w:pPr>
      <w:r>
        <w:rPr>
          <w:rFonts w:ascii="楷体_GB2312" w:eastAsia="楷体_GB2312" w:hAnsi="仿宋_GB2312" w:cs="仿宋_GB2312" w:hint="eastAsia"/>
          <w:b/>
          <w:sz w:val="32"/>
          <w:szCs w:val="32"/>
        </w:rPr>
        <w:t>（三）高质量落实</w:t>
      </w:r>
      <w:r w:rsidR="000A7C26">
        <w:rPr>
          <w:rFonts w:ascii="楷体_GB2312" w:eastAsia="楷体_GB2312" w:hAnsi="仿宋_GB2312" w:cs="仿宋_GB2312" w:hint="eastAsia"/>
          <w:b/>
          <w:sz w:val="32"/>
          <w:szCs w:val="32"/>
        </w:rPr>
        <w:t>”双减”</w:t>
      </w:r>
      <w:r>
        <w:rPr>
          <w:rFonts w:ascii="楷体_GB2312" w:eastAsia="楷体_GB2312" w:hAnsi="仿宋_GB2312" w:cs="仿宋_GB2312" w:hint="eastAsia"/>
          <w:b/>
          <w:sz w:val="32"/>
          <w:szCs w:val="32"/>
        </w:rPr>
        <w:t>工作</w:t>
      </w:r>
    </w:p>
    <w:p w:rsidR="001727CF" w:rsidRDefault="008E6E76">
      <w:pPr>
        <w:adjustRightInd w:val="0"/>
        <w:snapToGrid w:val="0"/>
        <w:spacing w:line="60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1．全面开展课后服务。</w:t>
      </w:r>
      <w:r>
        <w:rPr>
          <w:rFonts w:ascii="仿宋_GB2312" w:eastAsia="仿宋_GB2312" w:hAnsi="仿宋_GB2312" w:cs="仿宋_GB2312" w:hint="eastAsia"/>
          <w:bCs/>
          <w:sz w:val="32"/>
          <w:szCs w:val="32"/>
        </w:rPr>
        <w:t>滨江区在2017年全市率先推出课后托管服务。“</w:t>
      </w:r>
      <w:r w:rsidR="000A7C26">
        <w:rPr>
          <w:rFonts w:ascii="仿宋_GB2312" w:eastAsia="仿宋_GB2312" w:hAnsi="仿宋_GB2312" w:cs="仿宋_GB2312" w:hint="eastAsia"/>
          <w:bCs/>
          <w:sz w:val="32"/>
          <w:szCs w:val="32"/>
        </w:rPr>
        <w:t>“双减”</w:t>
      </w:r>
      <w:r>
        <w:rPr>
          <w:rFonts w:ascii="仿宋_GB2312" w:eastAsia="仿宋_GB2312" w:hAnsi="仿宋_GB2312" w:cs="仿宋_GB2312" w:hint="eastAsia"/>
          <w:bCs/>
          <w:sz w:val="32"/>
          <w:szCs w:val="32"/>
        </w:rPr>
        <w:t>”工作启动以来，全面提升课后服务水平。通过“三个中心”深挖校外优质资源，“四个结合”打造课后服务多元生态。全区100%学校开设课后服务，82.5%以上学生参加，90%以上教师参与。课后服务以收费低、服务优、内容丰富，广受家长好评，家长满意度在98%以上。</w:t>
      </w:r>
    </w:p>
    <w:p w:rsidR="001727CF" w:rsidRDefault="008E6E76">
      <w:pPr>
        <w:adjustRightInd w:val="0"/>
        <w:snapToGrid w:val="0"/>
        <w:spacing w:line="60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2．创新家校协同方式。</w:t>
      </w:r>
      <w:r>
        <w:rPr>
          <w:rFonts w:ascii="仿宋_GB2312" w:eastAsia="仿宋_GB2312" w:hAnsi="仿宋_GB2312" w:cs="仿宋_GB2312" w:hint="eastAsia"/>
          <w:bCs/>
          <w:sz w:val="32"/>
          <w:szCs w:val="32"/>
        </w:rPr>
        <w:t>建设家校社协同育人中心，建立政府为主导、家庭为基础、学校为主体、社会为平台、专业为支撑的家校社协同育人机制。推动学校党支部书记兼职社区党组织委员，</w:t>
      </w:r>
      <w:r>
        <w:rPr>
          <w:rFonts w:ascii="仿宋_GB2312" w:eastAsia="仿宋_GB2312" w:hAnsi="仿宋_GB2312" w:cs="仿宋_GB2312" w:hint="eastAsia"/>
          <w:bCs/>
          <w:sz w:val="32"/>
          <w:szCs w:val="32"/>
        </w:rPr>
        <w:lastRenderedPageBreak/>
        <w:t>把家庭教育纳入社区教育体系。各学校积极打造“教育合伙人”“和和+家”、特殊儿童共育圈等家校合作项目，引导和促进学校、家庭、社会三方重构职责边界，回归教育初心。</w:t>
      </w:r>
    </w:p>
    <w:p w:rsidR="001727CF" w:rsidRDefault="008E6E76">
      <w:pPr>
        <w:adjustRightInd w:val="0"/>
        <w:snapToGrid w:val="0"/>
        <w:spacing w:line="60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3．完善部门联动机制。</w:t>
      </w:r>
      <w:r>
        <w:rPr>
          <w:rFonts w:ascii="仿宋_GB2312" w:eastAsia="仿宋_GB2312" w:hAnsi="仿宋_GB2312" w:cs="仿宋_GB2312" w:hint="eastAsia"/>
          <w:bCs/>
          <w:sz w:val="32"/>
          <w:szCs w:val="32"/>
        </w:rPr>
        <w:t>成立区“</w:t>
      </w:r>
      <w:r w:rsidR="000A7C26">
        <w:rPr>
          <w:rFonts w:ascii="仿宋_GB2312" w:eastAsia="仿宋_GB2312" w:hAnsi="仿宋_GB2312" w:cs="仿宋_GB2312" w:hint="eastAsia"/>
          <w:bCs/>
          <w:sz w:val="32"/>
          <w:szCs w:val="32"/>
        </w:rPr>
        <w:t>“双减”</w:t>
      </w:r>
      <w:r>
        <w:rPr>
          <w:rFonts w:ascii="仿宋_GB2312" w:eastAsia="仿宋_GB2312" w:hAnsi="仿宋_GB2312" w:cs="仿宋_GB2312" w:hint="eastAsia"/>
          <w:bCs/>
          <w:sz w:val="32"/>
          <w:szCs w:val="32"/>
        </w:rPr>
        <w:t>”工作领导小组，厘清部门职责，压实部门责任，开展联合执法。为解决放学拥堵问题，多部门联动，全区开通49条“求知专线”，缓解上下学高峰期交通拥堵。街道社区属地网格员与全区所有责任督学对非法、违规办学行为进行查处，做到全面监督、随时抄告、及时整改。</w:t>
      </w:r>
    </w:p>
    <w:p w:rsidR="001727CF" w:rsidRDefault="008E6E76" w:rsidP="00786761">
      <w:pPr>
        <w:adjustRightInd w:val="0"/>
        <w:snapToGrid w:val="0"/>
        <w:spacing w:line="600" w:lineRule="exact"/>
        <w:ind w:firstLineChars="200" w:firstLine="640"/>
        <w:rPr>
          <w:rFonts w:ascii="楷体_GB2312" w:eastAsia="楷体_GB2312" w:hAnsi="仿宋_GB2312" w:cs="仿宋_GB2312"/>
          <w:b/>
          <w:sz w:val="32"/>
          <w:szCs w:val="32"/>
        </w:rPr>
      </w:pPr>
      <w:r>
        <w:rPr>
          <w:rFonts w:ascii="楷体_GB2312" w:eastAsia="楷体_GB2312" w:hAnsi="仿宋_GB2312" w:cs="仿宋_GB2312" w:hint="eastAsia"/>
          <w:b/>
          <w:sz w:val="32"/>
          <w:szCs w:val="32"/>
        </w:rPr>
        <w:t>（四）高起点推进教育改革</w:t>
      </w:r>
    </w:p>
    <w:p w:rsidR="001727CF" w:rsidRDefault="008E6E76">
      <w:pPr>
        <w:adjustRightInd w:val="0"/>
        <w:snapToGrid w:val="0"/>
        <w:spacing w:line="60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1．完善治理体系，提高教育改革整体性。</w:t>
      </w:r>
      <w:r>
        <w:rPr>
          <w:rFonts w:ascii="仿宋_GB2312" w:eastAsia="仿宋_GB2312" w:hAnsi="仿宋_GB2312" w:cs="仿宋_GB2312" w:hint="eastAsia"/>
          <w:bCs/>
          <w:sz w:val="32"/>
          <w:szCs w:val="32"/>
        </w:rPr>
        <w:t>加强党对教育工作的全面领导，建立区委常委会、政府常务会议议教和党委政府领导联系学校等制度，成立以区委副书记为组长的党委教育工作领导小组，统筹领导全区教育工作，研究部署教育改革发展中的重大问题。建立人民政府教育督导委员会工作规程、部门履行教育职责等考核机制，促进部门履职。制定滨江区学校高质量发展评估体系，突出学生综合素质评价，鼓励学校特色发展。</w:t>
      </w:r>
    </w:p>
    <w:p w:rsidR="001727CF" w:rsidRDefault="008E6E76">
      <w:pPr>
        <w:adjustRightInd w:val="0"/>
        <w:snapToGrid w:val="0"/>
        <w:spacing w:line="600" w:lineRule="exact"/>
        <w:ind w:firstLineChars="200" w:firstLine="643"/>
        <w:rPr>
          <w:rFonts w:ascii="仿宋_GB2312" w:eastAsia="仿宋_GB2312" w:hAnsi="仿宋_GB2312" w:cs="仿宋_GB2312"/>
          <w:bCs/>
          <w:kern w:val="0"/>
          <w:sz w:val="32"/>
          <w:szCs w:val="32"/>
        </w:rPr>
      </w:pPr>
      <w:r>
        <w:rPr>
          <w:rFonts w:ascii="仿宋_GB2312" w:eastAsia="仿宋_GB2312" w:hAnsi="仿宋_GB2312" w:cs="仿宋_GB2312" w:hint="eastAsia"/>
          <w:b/>
          <w:sz w:val="32"/>
          <w:szCs w:val="32"/>
        </w:rPr>
        <w:t>2．丰富技术手段，提高教育管理有效性。</w:t>
      </w:r>
      <w:r>
        <w:rPr>
          <w:rFonts w:ascii="仿宋_GB2312" w:eastAsia="仿宋_GB2312" w:hAnsi="仿宋_GB2312" w:cs="仿宋_GB2312" w:hint="eastAsia"/>
          <w:b/>
          <w:kern w:val="0"/>
          <w:sz w:val="32"/>
          <w:szCs w:val="32"/>
        </w:rPr>
        <w:t>一是</w:t>
      </w:r>
      <w:r>
        <w:rPr>
          <w:rFonts w:ascii="仿宋_GB2312" w:eastAsia="仿宋_GB2312" w:hAnsi="仿宋_GB2312" w:cs="仿宋_GB2312" w:hint="eastAsia"/>
          <w:bCs/>
          <w:kern w:val="0"/>
          <w:sz w:val="32"/>
          <w:szCs w:val="32"/>
        </w:rPr>
        <w:t>加快推进教育领域</w:t>
      </w:r>
      <w:r w:rsidR="00786761">
        <w:rPr>
          <w:rFonts w:ascii="仿宋_GB2312" w:eastAsia="仿宋_GB2312" w:hAnsi="仿宋_GB2312" w:cs="仿宋_GB2312" w:hint="eastAsia"/>
          <w:bCs/>
          <w:kern w:val="0"/>
          <w:sz w:val="32"/>
          <w:szCs w:val="32"/>
        </w:rPr>
        <w:t>”放管服”改革</w:t>
      </w:r>
      <w:r>
        <w:rPr>
          <w:rFonts w:ascii="仿宋_GB2312" w:eastAsia="仿宋_GB2312" w:hAnsi="仿宋_GB2312" w:cs="仿宋_GB2312" w:hint="eastAsia"/>
          <w:bCs/>
          <w:kern w:val="0"/>
          <w:sz w:val="32"/>
          <w:szCs w:val="32"/>
        </w:rPr>
        <w:t>。开发教育服务小程序，实现转学、休学、复学“零次跑”、教师资格认定申请“零次跑”。</w:t>
      </w:r>
      <w:r>
        <w:rPr>
          <w:rFonts w:ascii="仿宋_GB2312" w:eastAsia="仿宋_GB2312" w:hAnsi="仿宋_GB2312" w:cs="仿宋_GB2312" w:hint="eastAsia"/>
          <w:b/>
          <w:kern w:val="0"/>
          <w:sz w:val="32"/>
          <w:szCs w:val="32"/>
        </w:rPr>
        <w:t>二是</w:t>
      </w:r>
      <w:r>
        <w:rPr>
          <w:rFonts w:ascii="仿宋_GB2312" w:eastAsia="仿宋_GB2312" w:hAnsi="仿宋_GB2312" w:cs="仿宋_GB2312" w:hint="eastAsia"/>
          <w:bCs/>
          <w:kern w:val="0"/>
          <w:sz w:val="32"/>
          <w:szCs w:val="32"/>
        </w:rPr>
        <w:t>加快推进数字化改革教育场景应用建设。推出“滨江教育一码通”平台，整合服务类、管理类、精准教学类项目。开展基于大数据、人工智能的学习诊断和分析服务，</w:t>
      </w:r>
      <w:r>
        <w:rPr>
          <w:rFonts w:ascii="仿宋_GB2312" w:eastAsia="仿宋_GB2312" w:hAnsi="仿宋_GB2312" w:cs="仿宋_GB2312" w:hint="eastAsia"/>
          <w:bCs/>
          <w:snapToGrid w:val="0"/>
          <w:kern w:val="0"/>
          <w:sz w:val="32"/>
          <w:szCs w:val="32"/>
        </w:rPr>
        <w:t>校园开放应用场景上架浙里办。</w:t>
      </w:r>
      <w:r>
        <w:rPr>
          <w:rFonts w:ascii="仿宋_GB2312" w:eastAsia="仿宋_GB2312" w:hAnsi="仿宋_GB2312" w:cs="仿宋_GB2312" w:hint="eastAsia"/>
          <w:b/>
          <w:kern w:val="0"/>
          <w:sz w:val="32"/>
          <w:szCs w:val="32"/>
        </w:rPr>
        <w:t>三</w:t>
      </w:r>
      <w:r>
        <w:rPr>
          <w:rFonts w:ascii="仿宋_GB2312" w:eastAsia="仿宋_GB2312" w:hAnsi="仿宋_GB2312" w:cs="仿宋_GB2312" w:hint="eastAsia"/>
          <w:b/>
          <w:kern w:val="0"/>
          <w:sz w:val="32"/>
          <w:szCs w:val="32"/>
        </w:rPr>
        <w:lastRenderedPageBreak/>
        <w:t>是</w:t>
      </w:r>
      <w:r>
        <w:rPr>
          <w:rFonts w:ascii="仿宋_GB2312" w:eastAsia="仿宋_GB2312" w:hAnsi="仿宋_GB2312" w:cs="仿宋_GB2312" w:hint="eastAsia"/>
          <w:bCs/>
          <w:kern w:val="0"/>
          <w:sz w:val="32"/>
          <w:szCs w:val="32"/>
        </w:rPr>
        <w:t>加快推进校园安防立体化建设。智安校园建设全域覆盖，校园“安澜”工程实现初中全覆盖，新建学校全预设，全市领先。</w:t>
      </w:r>
    </w:p>
    <w:p w:rsidR="001727CF" w:rsidRDefault="008E6E76">
      <w:pPr>
        <w:adjustRightInd w:val="0"/>
        <w:snapToGrid w:val="0"/>
        <w:spacing w:line="60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3．发挥督导作用，提高教育改革协同性。</w:t>
      </w:r>
      <w:r>
        <w:rPr>
          <w:rFonts w:ascii="仿宋_GB2312" w:eastAsia="仿宋_GB2312" w:hAnsi="仿宋_GB2312" w:cs="仿宋_GB2312" w:hint="eastAsia"/>
          <w:bCs/>
          <w:sz w:val="32"/>
          <w:szCs w:val="32"/>
        </w:rPr>
        <w:t>建立区人民政府教育督导委员会，不断完善教育督导机构，逐渐形成全面覆盖、运转高效、结果权威、问责有力的教育督导机制。教育督导对标“教育现代化”“优质均衡”“政府履职”等考核体系找差距、提问题、给建议，在反复查对、沟通协调、督促整改的过程中增进部门理解，加强相互协商，形成齐抓共管新格局，提高教育改革协同性。</w:t>
      </w:r>
    </w:p>
    <w:p w:rsidR="001727CF" w:rsidRDefault="008E6E76">
      <w:pPr>
        <w:adjustRightInd w:val="0"/>
        <w:snapToGrid w:val="0"/>
        <w:spacing w:line="60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三、对标自查情况</w:t>
      </w:r>
    </w:p>
    <w:p w:rsidR="001727CF" w:rsidRDefault="008E6E76">
      <w:pPr>
        <w:adjustRightInd w:val="0"/>
        <w:snapToGrid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对照《县域义务教育优质均衡发展督导评估办法》，经校、区两级自查，尚有二项指标未全面达标：</w:t>
      </w:r>
      <w:r>
        <w:rPr>
          <w:rFonts w:ascii="仿宋_GB2312" w:eastAsia="仿宋_GB2312" w:hAnsi="仿宋_GB2312" w:cs="仿宋_GB2312" w:hint="eastAsia"/>
          <w:b/>
          <w:sz w:val="32"/>
          <w:szCs w:val="32"/>
        </w:rPr>
        <w:t>一是</w:t>
      </w:r>
      <w:r>
        <w:rPr>
          <w:rFonts w:ascii="仿宋_GB2312" w:eastAsia="仿宋_GB2312" w:hAnsi="仿宋_GB2312" w:cs="仿宋_GB2312" w:hint="eastAsia"/>
          <w:bCs/>
          <w:sz w:val="32"/>
          <w:szCs w:val="32"/>
        </w:rPr>
        <w:t>“资源配置”中“生均教学及辅助用房面积”指标，博文小学、长河小学分别达到指标的86%、89%，未100%达标，但符合“每所学校6项指标达标，余项不能低于要求的85%”条件；</w:t>
      </w:r>
      <w:r>
        <w:rPr>
          <w:rFonts w:ascii="仿宋_GB2312" w:eastAsia="仿宋_GB2312" w:hAnsi="仿宋_GB2312" w:cs="仿宋_GB2312" w:hint="eastAsia"/>
          <w:b/>
          <w:sz w:val="32"/>
          <w:szCs w:val="32"/>
        </w:rPr>
        <w:t>二是</w:t>
      </w:r>
      <w:r>
        <w:rPr>
          <w:rFonts w:ascii="仿宋_GB2312" w:eastAsia="仿宋_GB2312" w:hAnsi="仿宋_GB2312" w:cs="仿宋_GB2312" w:hint="eastAsia"/>
          <w:bCs/>
          <w:sz w:val="32"/>
          <w:szCs w:val="32"/>
        </w:rPr>
        <w:t>“政府保障”中“办学规模”指标，滨江实验小学学生人数2661人、江南实验学校本部（建于2004年）学生3224人，分别超过指标661人、224人。</w:t>
      </w:r>
      <w:r>
        <w:rPr>
          <w:rFonts w:ascii="仿宋_GB2312" w:eastAsia="仿宋_GB2312" w:hAnsi="华文仿宋" w:cs="华文仿宋" w:hint="eastAsia"/>
          <w:bCs/>
          <w:sz w:val="30"/>
          <w:szCs w:val="30"/>
        </w:rPr>
        <w:t>但这两所学校均未超学校设计规模。</w:t>
      </w:r>
      <w:r>
        <w:rPr>
          <w:rFonts w:ascii="仿宋_GB2312" w:eastAsia="仿宋_GB2312" w:hAnsi="仿宋_GB2312" w:cs="仿宋_GB2312" w:hint="eastAsia"/>
          <w:bCs/>
          <w:sz w:val="32"/>
          <w:szCs w:val="32"/>
        </w:rPr>
        <w:t>其余指标全面达标。对未达标项目，目前已拟定整改措施。</w:t>
      </w:r>
    </w:p>
    <w:p w:rsidR="001727CF" w:rsidRDefault="008E6E76">
      <w:pPr>
        <w:adjustRightInd w:val="0"/>
        <w:snapToGrid w:val="0"/>
        <w:spacing w:line="60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四、存在问题及下步努力方向</w:t>
      </w:r>
    </w:p>
    <w:p w:rsidR="001727CF" w:rsidRDefault="008E6E76">
      <w:pPr>
        <w:widowControl/>
        <w:adjustRightInd w:val="0"/>
        <w:snapToGrid w:val="0"/>
        <w:spacing w:line="60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近年来，在省、市教育部门关心支持下，滨江教育发展迅速、成效显著，但与高新区（滨江）经济社会发展水平、人民群众对</w:t>
      </w:r>
      <w:r>
        <w:rPr>
          <w:rFonts w:ascii="仿宋_GB2312" w:eastAsia="仿宋_GB2312" w:hAnsi="仿宋_GB2312" w:cs="仿宋_GB2312" w:hint="eastAsia"/>
          <w:bCs/>
          <w:sz w:val="32"/>
          <w:szCs w:val="32"/>
        </w:rPr>
        <w:lastRenderedPageBreak/>
        <w:t>美好教育的期盼还存在一定的差距，主要表现在：教育资源配置局部紧张、教师队伍中示范引领型人才短缺、文化引领内涵发展有待提升等。</w:t>
      </w:r>
    </w:p>
    <w:p w:rsidR="001727CF" w:rsidRDefault="008E6E76" w:rsidP="00786761">
      <w:pPr>
        <w:adjustRightInd w:val="0"/>
        <w:snapToGrid w:val="0"/>
        <w:spacing w:line="600" w:lineRule="exact"/>
        <w:ind w:firstLineChars="200" w:firstLine="640"/>
        <w:rPr>
          <w:rFonts w:ascii="楷体_GB2312" w:eastAsia="楷体_GB2312" w:hAnsi="仿宋_GB2312" w:cs="仿宋_GB2312"/>
          <w:b/>
          <w:sz w:val="32"/>
          <w:szCs w:val="32"/>
        </w:rPr>
      </w:pPr>
      <w:r>
        <w:rPr>
          <w:rFonts w:ascii="楷体_GB2312" w:eastAsia="楷体_GB2312" w:hAnsi="仿宋_GB2312" w:cs="仿宋_GB2312" w:hint="eastAsia"/>
          <w:b/>
          <w:sz w:val="32"/>
          <w:szCs w:val="32"/>
        </w:rPr>
        <w:t>（一）优化资源布局，提升教育承载力</w:t>
      </w:r>
    </w:p>
    <w:p w:rsidR="001727CF" w:rsidRDefault="008E6E76">
      <w:pPr>
        <w:adjustRightInd w:val="0"/>
        <w:snapToGrid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逐步调整江南实验学校本部招生数量，逐年减少滨江实验小学招生数，三年内将两所学校人数分别控制在2500、2000人之内。按时完成2021-2025年建成20所中小学并投入使用的建设目标，缓解教育资源局部紧张的结构性矛盾。</w:t>
      </w:r>
    </w:p>
    <w:p w:rsidR="001727CF" w:rsidRDefault="008E6E76" w:rsidP="00786761">
      <w:pPr>
        <w:adjustRightInd w:val="0"/>
        <w:snapToGrid w:val="0"/>
        <w:spacing w:line="600" w:lineRule="exact"/>
        <w:ind w:firstLineChars="200" w:firstLine="640"/>
        <w:rPr>
          <w:rFonts w:ascii="楷体_GB2312" w:eastAsia="楷体_GB2312" w:hAnsi="仿宋_GB2312" w:cs="仿宋_GB2312"/>
          <w:b/>
          <w:sz w:val="32"/>
          <w:szCs w:val="32"/>
        </w:rPr>
      </w:pPr>
      <w:r>
        <w:rPr>
          <w:rFonts w:ascii="楷体_GB2312" w:eastAsia="楷体_GB2312" w:hAnsi="仿宋_GB2312" w:cs="仿宋_GB2312" w:hint="eastAsia"/>
          <w:b/>
          <w:sz w:val="32"/>
          <w:szCs w:val="32"/>
        </w:rPr>
        <w:t>（二）深化集团办学，提升资源覆盖率</w:t>
      </w:r>
    </w:p>
    <w:p w:rsidR="001727CF" w:rsidRDefault="008E6E76">
      <w:pPr>
        <w:adjustRightInd w:val="0"/>
        <w:snapToGrid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进一步落实集团化办学行动方案，创新集团化办学举措，打破固化思维，优化集团学校人、财、物等资源配置，在教师交流、学区划分、成果共享等方面有更深入实践与更创新有效的行动举措，让每一所学校都焕发生机活力，让每一所学校都优质。</w:t>
      </w:r>
      <w:bookmarkStart w:id="0" w:name="_GoBack"/>
      <w:bookmarkEnd w:id="0"/>
    </w:p>
    <w:p w:rsidR="001727CF" w:rsidRDefault="008E6E76" w:rsidP="00786761">
      <w:pPr>
        <w:adjustRightInd w:val="0"/>
        <w:snapToGrid w:val="0"/>
        <w:spacing w:line="600" w:lineRule="exact"/>
        <w:ind w:firstLineChars="200" w:firstLine="640"/>
        <w:rPr>
          <w:rFonts w:ascii="楷体_GB2312" w:eastAsia="楷体_GB2312" w:hAnsi="仿宋_GB2312" w:cs="仿宋_GB2312"/>
          <w:bCs/>
          <w:sz w:val="32"/>
          <w:szCs w:val="32"/>
        </w:rPr>
      </w:pPr>
      <w:r>
        <w:rPr>
          <w:rFonts w:ascii="楷体_GB2312" w:eastAsia="楷体_GB2312" w:hAnsi="仿宋_GB2312" w:cs="仿宋_GB2312" w:hint="eastAsia"/>
          <w:b/>
          <w:sz w:val="32"/>
          <w:szCs w:val="32"/>
        </w:rPr>
        <w:t>（三）强化评价体系，提升品牌影响力</w:t>
      </w:r>
    </w:p>
    <w:p w:rsidR="001727CF" w:rsidRDefault="008E6E76">
      <w:pPr>
        <w:adjustRightInd w:val="0"/>
        <w:snapToGrid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挖掘滨江教育的文化内涵</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依托数字经济的区域优势</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推动滨江教育高质量发展。</w:t>
      </w:r>
      <w:r>
        <w:rPr>
          <w:rFonts w:ascii="仿宋_GB2312" w:eastAsia="仿宋_GB2312" w:hAnsi="仿宋_GB2312" w:cs="仿宋_GB2312" w:hint="eastAsia"/>
          <w:snapToGrid w:val="0"/>
          <w:kern w:val="0"/>
          <w:sz w:val="32"/>
          <w:szCs w:val="32"/>
        </w:rPr>
        <w:t>持续加大优秀教师的引育力度，造就一批专家型教师和教育家型校（园）长。创新办学机制，推进特色项目建设进程，打造区域教育品牌，实现滨江教育标准化、特色化</w:t>
      </w:r>
      <w:r>
        <w:rPr>
          <w:rFonts w:ascii="仿宋_GB2312" w:eastAsia="仿宋_GB2312" w:hAnsi="仿宋_GB2312" w:cs="仿宋_GB2312"/>
          <w:snapToGrid w:val="0"/>
          <w:kern w:val="0"/>
          <w:sz w:val="32"/>
          <w:szCs w:val="32"/>
        </w:rPr>
        <w:t>、</w:t>
      </w:r>
      <w:r>
        <w:rPr>
          <w:rFonts w:ascii="仿宋_GB2312" w:eastAsia="仿宋_GB2312" w:hAnsi="仿宋_GB2312" w:cs="仿宋_GB2312" w:hint="eastAsia"/>
          <w:snapToGrid w:val="0"/>
          <w:kern w:val="0"/>
          <w:sz w:val="32"/>
          <w:szCs w:val="32"/>
        </w:rPr>
        <w:t>现代化，</w:t>
      </w:r>
      <w:r>
        <w:rPr>
          <w:rFonts w:ascii="仿宋_GB2312" w:eastAsia="仿宋_GB2312" w:hAnsi="仿宋_GB2312" w:cs="仿宋_GB2312" w:hint="eastAsia"/>
          <w:bCs/>
          <w:sz w:val="32"/>
          <w:szCs w:val="32"/>
        </w:rPr>
        <w:t>实现区域教育优质均衡发展。</w:t>
      </w:r>
    </w:p>
    <w:sectPr w:rsidR="001727CF" w:rsidSect="001727CF">
      <w:footerReference w:type="default" r:id="rId7"/>
      <w:pgSz w:w="11906" w:h="16838"/>
      <w:pgMar w:top="1701" w:right="1418" w:bottom="1418" w:left="141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3F0" w:rsidRDefault="005573F0" w:rsidP="001727CF">
      <w:r>
        <w:separator/>
      </w:r>
    </w:p>
  </w:endnote>
  <w:endnote w:type="continuationSeparator" w:id="0">
    <w:p w:rsidR="005573F0" w:rsidRDefault="005573F0" w:rsidP="001727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charset w:val="86"/>
    <w:family w:val="auto"/>
    <w:pitch w:val="default"/>
    <w:sig w:usb0="00000287"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CF" w:rsidRDefault="00DA1E23">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filled="f" stroked="f" strokeweight=".5pt">
          <v:textbox style="mso-fit-shape-to-text:t" inset="0,0,0,0">
            <w:txbxContent>
              <w:p w:rsidR="001727CF" w:rsidRDefault="00DA1E23">
                <w:pPr>
                  <w:pStyle w:val="a4"/>
                </w:pPr>
                <w:r>
                  <w:fldChar w:fldCharType="begin"/>
                </w:r>
                <w:r w:rsidR="008E6E76">
                  <w:instrText xml:space="preserve"> PAGE  \* MERGEFORMAT </w:instrText>
                </w:r>
                <w:r>
                  <w:fldChar w:fldCharType="separate"/>
                </w:r>
                <w:r w:rsidR="000A7C26">
                  <w:rPr>
                    <w:noProof/>
                  </w:rPr>
                  <w:t>- 7 -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3F0" w:rsidRDefault="005573F0" w:rsidP="001727CF">
      <w:r>
        <w:separator/>
      </w:r>
    </w:p>
  </w:footnote>
  <w:footnote w:type="continuationSeparator" w:id="0">
    <w:p w:rsidR="005573F0" w:rsidRDefault="005573F0" w:rsidP="001727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B68CA"/>
    <w:rsid w:val="00026020"/>
    <w:rsid w:val="00032AE9"/>
    <w:rsid w:val="000A7C26"/>
    <w:rsid w:val="000C2336"/>
    <w:rsid w:val="0013486B"/>
    <w:rsid w:val="001727CF"/>
    <w:rsid w:val="001F44D2"/>
    <w:rsid w:val="002228A8"/>
    <w:rsid w:val="00235017"/>
    <w:rsid w:val="002B288A"/>
    <w:rsid w:val="002D463B"/>
    <w:rsid w:val="002E0B4E"/>
    <w:rsid w:val="00362456"/>
    <w:rsid w:val="003F17CB"/>
    <w:rsid w:val="00446C1C"/>
    <w:rsid w:val="0045252D"/>
    <w:rsid w:val="004A1407"/>
    <w:rsid w:val="004E6B4C"/>
    <w:rsid w:val="00500E9B"/>
    <w:rsid w:val="00506A94"/>
    <w:rsid w:val="0051762C"/>
    <w:rsid w:val="0052641E"/>
    <w:rsid w:val="005331AA"/>
    <w:rsid w:val="005573F0"/>
    <w:rsid w:val="00560A55"/>
    <w:rsid w:val="00562CBA"/>
    <w:rsid w:val="006377F4"/>
    <w:rsid w:val="00665292"/>
    <w:rsid w:val="00674D03"/>
    <w:rsid w:val="006B2AC0"/>
    <w:rsid w:val="0072663E"/>
    <w:rsid w:val="00786761"/>
    <w:rsid w:val="007951E7"/>
    <w:rsid w:val="007B68CA"/>
    <w:rsid w:val="007C1E6C"/>
    <w:rsid w:val="007C5625"/>
    <w:rsid w:val="00806444"/>
    <w:rsid w:val="00810FCD"/>
    <w:rsid w:val="00851FFC"/>
    <w:rsid w:val="00866E03"/>
    <w:rsid w:val="008C45D2"/>
    <w:rsid w:val="008E391B"/>
    <w:rsid w:val="008E6C9A"/>
    <w:rsid w:val="008E6E76"/>
    <w:rsid w:val="00926E30"/>
    <w:rsid w:val="00954170"/>
    <w:rsid w:val="009A418B"/>
    <w:rsid w:val="009D0547"/>
    <w:rsid w:val="00A32C16"/>
    <w:rsid w:val="00AB6FCF"/>
    <w:rsid w:val="00AC33B9"/>
    <w:rsid w:val="00AF6A45"/>
    <w:rsid w:val="00B166D4"/>
    <w:rsid w:val="00B34899"/>
    <w:rsid w:val="00B4412D"/>
    <w:rsid w:val="00B515EA"/>
    <w:rsid w:val="00B63464"/>
    <w:rsid w:val="00B73E23"/>
    <w:rsid w:val="00B93085"/>
    <w:rsid w:val="00BC01E9"/>
    <w:rsid w:val="00BF0E96"/>
    <w:rsid w:val="00C3602A"/>
    <w:rsid w:val="00D16E1C"/>
    <w:rsid w:val="00D4283D"/>
    <w:rsid w:val="00D44BF2"/>
    <w:rsid w:val="00D82179"/>
    <w:rsid w:val="00DA1E23"/>
    <w:rsid w:val="00E3408F"/>
    <w:rsid w:val="00E462A6"/>
    <w:rsid w:val="00E478B1"/>
    <w:rsid w:val="00E535F7"/>
    <w:rsid w:val="00E56902"/>
    <w:rsid w:val="00E754C5"/>
    <w:rsid w:val="00EE3293"/>
    <w:rsid w:val="00EF3113"/>
    <w:rsid w:val="00F13B42"/>
    <w:rsid w:val="00FA465D"/>
    <w:rsid w:val="00FA519E"/>
    <w:rsid w:val="00FF5F14"/>
    <w:rsid w:val="01C9679D"/>
    <w:rsid w:val="01FE47FA"/>
    <w:rsid w:val="02D84207"/>
    <w:rsid w:val="02FE01A4"/>
    <w:rsid w:val="031F566E"/>
    <w:rsid w:val="03ED3A8B"/>
    <w:rsid w:val="041025AF"/>
    <w:rsid w:val="046A5B22"/>
    <w:rsid w:val="04B65E6A"/>
    <w:rsid w:val="05901C90"/>
    <w:rsid w:val="05FC304F"/>
    <w:rsid w:val="065575CB"/>
    <w:rsid w:val="067231C7"/>
    <w:rsid w:val="074A231A"/>
    <w:rsid w:val="07A83D87"/>
    <w:rsid w:val="085136FB"/>
    <w:rsid w:val="085D1644"/>
    <w:rsid w:val="08A42EDD"/>
    <w:rsid w:val="08E35301"/>
    <w:rsid w:val="092B2790"/>
    <w:rsid w:val="097225D6"/>
    <w:rsid w:val="097A4508"/>
    <w:rsid w:val="09C6146A"/>
    <w:rsid w:val="09CA215E"/>
    <w:rsid w:val="0A570047"/>
    <w:rsid w:val="0ACE2454"/>
    <w:rsid w:val="0B2F6B70"/>
    <w:rsid w:val="0B4F63E1"/>
    <w:rsid w:val="0B6D58B8"/>
    <w:rsid w:val="0BD44D5C"/>
    <w:rsid w:val="0BF76E3D"/>
    <w:rsid w:val="0CA650CD"/>
    <w:rsid w:val="0D621305"/>
    <w:rsid w:val="0FCC5D5C"/>
    <w:rsid w:val="0FDE3931"/>
    <w:rsid w:val="1051237F"/>
    <w:rsid w:val="112A3D7F"/>
    <w:rsid w:val="11C861C9"/>
    <w:rsid w:val="11F81A3D"/>
    <w:rsid w:val="120548AC"/>
    <w:rsid w:val="129642C7"/>
    <w:rsid w:val="12D63FD6"/>
    <w:rsid w:val="1323188C"/>
    <w:rsid w:val="133F5D73"/>
    <w:rsid w:val="134F6970"/>
    <w:rsid w:val="135150FC"/>
    <w:rsid w:val="13A753E0"/>
    <w:rsid w:val="1462122F"/>
    <w:rsid w:val="14D52C81"/>
    <w:rsid w:val="15EE3FC4"/>
    <w:rsid w:val="16273B55"/>
    <w:rsid w:val="16D64A3F"/>
    <w:rsid w:val="16E212F4"/>
    <w:rsid w:val="17D73A4B"/>
    <w:rsid w:val="18286950"/>
    <w:rsid w:val="188F56DF"/>
    <w:rsid w:val="189A4C92"/>
    <w:rsid w:val="1A1C1275"/>
    <w:rsid w:val="1B7D7074"/>
    <w:rsid w:val="1B92362F"/>
    <w:rsid w:val="1BDF23F9"/>
    <w:rsid w:val="1C5B21AA"/>
    <w:rsid w:val="1C835A8F"/>
    <w:rsid w:val="1CC93EEE"/>
    <w:rsid w:val="1CE53707"/>
    <w:rsid w:val="1D6035B5"/>
    <w:rsid w:val="1DDE6828"/>
    <w:rsid w:val="1E480248"/>
    <w:rsid w:val="1E8D3C44"/>
    <w:rsid w:val="1E9B2A6E"/>
    <w:rsid w:val="1EC35C61"/>
    <w:rsid w:val="1EF001E7"/>
    <w:rsid w:val="1F6317DE"/>
    <w:rsid w:val="20074388"/>
    <w:rsid w:val="205A2552"/>
    <w:rsid w:val="20CA763A"/>
    <w:rsid w:val="20FC2D8F"/>
    <w:rsid w:val="21065A18"/>
    <w:rsid w:val="21B51095"/>
    <w:rsid w:val="21BD043A"/>
    <w:rsid w:val="2202658D"/>
    <w:rsid w:val="22CC40B0"/>
    <w:rsid w:val="233310FE"/>
    <w:rsid w:val="238003DD"/>
    <w:rsid w:val="23B26DD2"/>
    <w:rsid w:val="23DA31A2"/>
    <w:rsid w:val="2670150F"/>
    <w:rsid w:val="293E7862"/>
    <w:rsid w:val="29C55EEF"/>
    <w:rsid w:val="2A6127F9"/>
    <w:rsid w:val="2AEF6D91"/>
    <w:rsid w:val="2B214A5B"/>
    <w:rsid w:val="2B2F0EA3"/>
    <w:rsid w:val="2B9B5E5B"/>
    <w:rsid w:val="2C61605A"/>
    <w:rsid w:val="2D093D7F"/>
    <w:rsid w:val="2D2E44F9"/>
    <w:rsid w:val="2D477328"/>
    <w:rsid w:val="2FEB72CA"/>
    <w:rsid w:val="301A21B2"/>
    <w:rsid w:val="30395A62"/>
    <w:rsid w:val="30BC35DA"/>
    <w:rsid w:val="3155349D"/>
    <w:rsid w:val="31BD0B34"/>
    <w:rsid w:val="31C14303"/>
    <w:rsid w:val="320C254F"/>
    <w:rsid w:val="329A0588"/>
    <w:rsid w:val="32E27F1B"/>
    <w:rsid w:val="339A5D71"/>
    <w:rsid w:val="33BB7471"/>
    <w:rsid w:val="33FA4978"/>
    <w:rsid w:val="340047B1"/>
    <w:rsid w:val="346F502A"/>
    <w:rsid w:val="348A1163"/>
    <w:rsid w:val="356175FC"/>
    <w:rsid w:val="35C729A2"/>
    <w:rsid w:val="36242F1A"/>
    <w:rsid w:val="362B12D6"/>
    <w:rsid w:val="36300659"/>
    <w:rsid w:val="364357AF"/>
    <w:rsid w:val="36962CC0"/>
    <w:rsid w:val="390173D5"/>
    <w:rsid w:val="39AB28EC"/>
    <w:rsid w:val="39DF13B0"/>
    <w:rsid w:val="3A5216EF"/>
    <w:rsid w:val="3AEF67A8"/>
    <w:rsid w:val="3B5E4826"/>
    <w:rsid w:val="3B8500DD"/>
    <w:rsid w:val="3BB735AC"/>
    <w:rsid w:val="3C4D647B"/>
    <w:rsid w:val="3CC77524"/>
    <w:rsid w:val="3CF26E5D"/>
    <w:rsid w:val="3D5C5A5F"/>
    <w:rsid w:val="3D704729"/>
    <w:rsid w:val="3E432AAE"/>
    <w:rsid w:val="3EAD1AA1"/>
    <w:rsid w:val="3F7549DF"/>
    <w:rsid w:val="401A015B"/>
    <w:rsid w:val="403738ED"/>
    <w:rsid w:val="419D03F5"/>
    <w:rsid w:val="41C71E74"/>
    <w:rsid w:val="41E33C60"/>
    <w:rsid w:val="41FC3B47"/>
    <w:rsid w:val="42692ED2"/>
    <w:rsid w:val="428F7AE4"/>
    <w:rsid w:val="43437067"/>
    <w:rsid w:val="43527AD6"/>
    <w:rsid w:val="439015B4"/>
    <w:rsid w:val="43C9234F"/>
    <w:rsid w:val="440D4FDF"/>
    <w:rsid w:val="44EE48F3"/>
    <w:rsid w:val="45147607"/>
    <w:rsid w:val="46691809"/>
    <w:rsid w:val="47284E5F"/>
    <w:rsid w:val="47387AE6"/>
    <w:rsid w:val="4780725F"/>
    <w:rsid w:val="479C2373"/>
    <w:rsid w:val="47A22EE6"/>
    <w:rsid w:val="48873323"/>
    <w:rsid w:val="49063BC5"/>
    <w:rsid w:val="490950F8"/>
    <w:rsid w:val="49194C0A"/>
    <w:rsid w:val="49521756"/>
    <w:rsid w:val="4A162BD1"/>
    <w:rsid w:val="4A722B76"/>
    <w:rsid w:val="4B1D5EF2"/>
    <w:rsid w:val="4B272690"/>
    <w:rsid w:val="4B92297F"/>
    <w:rsid w:val="4B956EB1"/>
    <w:rsid w:val="4BCD78F9"/>
    <w:rsid w:val="4C300856"/>
    <w:rsid w:val="4CA40002"/>
    <w:rsid w:val="4CCB5AB5"/>
    <w:rsid w:val="4CE865CF"/>
    <w:rsid w:val="4DBD7D93"/>
    <w:rsid w:val="4E0003E6"/>
    <w:rsid w:val="4E4A4512"/>
    <w:rsid w:val="4E6419A8"/>
    <w:rsid w:val="4F8E157F"/>
    <w:rsid w:val="50961745"/>
    <w:rsid w:val="50C20DBE"/>
    <w:rsid w:val="50FA3FE9"/>
    <w:rsid w:val="51083F98"/>
    <w:rsid w:val="515A1911"/>
    <w:rsid w:val="516D5FEE"/>
    <w:rsid w:val="51853622"/>
    <w:rsid w:val="51B5678B"/>
    <w:rsid w:val="52185A11"/>
    <w:rsid w:val="52B87178"/>
    <w:rsid w:val="52C503EC"/>
    <w:rsid w:val="52C96764"/>
    <w:rsid w:val="5348092D"/>
    <w:rsid w:val="539E6EB0"/>
    <w:rsid w:val="543267D6"/>
    <w:rsid w:val="54F560F2"/>
    <w:rsid w:val="550F10A5"/>
    <w:rsid w:val="556514B0"/>
    <w:rsid w:val="55D16D76"/>
    <w:rsid w:val="55D716BE"/>
    <w:rsid w:val="56034006"/>
    <w:rsid w:val="563F4717"/>
    <w:rsid w:val="567E1D45"/>
    <w:rsid w:val="57794E79"/>
    <w:rsid w:val="58555334"/>
    <w:rsid w:val="58BB25BE"/>
    <w:rsid w:val="59036F66"/>
    <w:rsid w:val="595F05D5"/>
    <w:rsid w:val="596C0CB3"/>
    <w:rsid w:val="5A366BCB"/>
    <w:rsid w:val="5B7713C6"/>
    <w:rsid w:val="5C4C3C11"/>
    <w:rsid w:val="5C7B4998"/>
    <w:rsid w:val="5DD23D0F"/>
    <w:rsid w:val="5DEF2E32"/>
    <w:rsid w:val="5EAD164B"/>
    <w:rsid w:val="5F1F16A9"/>
    <w:rsid w:val="60263077"/>
    <w:rsid w:val="607B7FD9"/>
    <w:rsid w:val="60FD629C"/>
    <w:rsid w:val="610151F4"/>
    <w:rsid w:val="61CD7B27"/>
    <w:rsid w:val="620A489A"/>
    <w:rsid w:val="620F7EBB"/>
    <w:rsid w:val="621D15C6"/>
    <w:rsid w:val="62DB73EE"/>
    <w:rsid w:val="634C659D"/>
    <w:rsid w:val="63A730EE"/>
    <w:rsid w:val="63B60DA6"/>
    <w:rsid w:val="640C3AC0"/>
    <w:rsid w:val="648D6E3F"/>
    <w:rsid w:val="64EE6A20"/>
    <w:rsid w:val="65004511"/>
    <w:rsid w:val="65955BDB"/>
    <w:rsid w:val="66391EBA"/>
    <w:rsid w:val="665139F9"/>
    <w:rsid w:val="66E231F8"/>
    <w:rsid w:val="671A67BD"/>
    <w:rsid w:val="67D3062F"/>
    <w:rsid w:val="685434B9"/>
    <w:rsid w:val="6874513D"/>
    <w:rsid w:val="68AA5E90"/>
    <w:rsid w:val="68D00996"/>
    <w:rsid w:val="699225E8"/>
    <w:rsid w:val="6A277BB9"/>
    <w:rsid w:val="6A455C19"/>
    <w:rsid w:val="6A66630E"/>
    <w:rsid w:val="6B2B0F30"/>
    <w:rsid w:val="6B530795"/>
    <w:rsid w:val="6B8F1167"/>
    <w:rsid w:val="6BD14BA6"/>
    <w:rsid w:val="6C722872"/>
    <w:rsid w:val="6CF37052"/>
    <w:rsid w:val="6D1818CD"/>
    <w:rsid w:val="6DAC1311"/>
    <w:rsid w:val="6DC01176"/>
    <w:rsid w:val="6E1F16B6"/>
    <w:rsid w:val="6EA402A2"/>
    <w:rsid w:val="6EF22D3C"/>
    <w:rsid w:val="6F1B2D2F"/>
    <w:rsid w:val="6F1B6FF8"/>
    <w:rsid w:val="6F2908C4"/>
    <w:rsid w:val="6FB16844"/>
    <w:rsid w:val="70910BA8"/>
    <w:rsid w:val="70DE203F"/>
    <w:rsid w:val="71CD6587"/>
    <w:rsid w:val="720106A5"/>
    <w:rsid w:val="7210541E"/>
    <w:rsid w:val="72265B7D"/>
    <w:rsid w:val="725B6C38"/>
    <w:rsid w:val="729237D5"/>
    <w:rsid w:val="72CD7951"/>
    <w:rsid w:val="73420F15"/>
    <w:rsid w:val="73784813"/>
    <w:rsid w:val="74236493"/>
    <w:rsid w:val="75420FEA"/>
    <w:rsid w:val="769E0569"/>
    <w:rsid w:val="76ED107B"/>
    <w:rsid w:val="77433893"/>
    <w:rsid w:val="775776FC"/>
    <w:rsid w:val="77632082"/>
    <w:rsid w:val="777D1DAA"/>
    <w:rsid w:val="779D2CC1"/>
    <w:rsid w:val="79DC1995"/>
    <w:rsid w:val="7ABC4EF2"/>
    <w:rsid w:val="7CF178E2"/>
    <w:rsid w:val="7D5F5E2D"/>
    <w:rsid w:val="7E086813"/>
    <w:rsid w:val="7ED148FF"/>
    <w:rsid w:val="7FD230E7"/>
    <w:rsid w:val="7FD41C0E"/>
    <w:rsid w:val="7FDE2874"/>
    <w:rsid w:val="7FE018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727CF"/>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1727CF"/>
    <w:pPr>
      <w:keepNext/>
      <w:keepLines/>
      <w:spacing w:before="340" w:after="330"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next w:val="2"/>
    <w:qFormat/>
    <w:rsid w:val="001727CF"/>
    <w:pPr>
      <w:adjustRightInd w:val="0"/>
      <w:snapToGrid w:val="0"/>
      <w:spacing w:line="600" w:lineRule="exact"/>
      <w:ind w:firstLineChars="200" w:firstLine="640"/>
    </w:pPr>
    <w:rPr>
      <w:rFonts w:ascii="仿宋_GB2312" w:eastAsia="仿宋_GB2312"/>
      <w:sz w:val="32"/>
      <w:szCs w:val="32"/>
    </w:rPr>
  </w:style>
  <w:style w:type="paragraph" w:styleId="2">
    <w:name w:val="Body Text First Indent 2"/>
    <w:basedOn w:val="a0"/>
    <w:next w:val="a"/>
    <w:qFormat/>
    <w:rsid w:val="001727CF"/>
    <w:pPr>
      <w:ind w:firstLine="420"/>
    </w:pPr>
  </w:style>
  <w:style w:type="paragraph" w:styleId="a4">
    <w:name w:val="footer"/>
    <w:basedOn w:val="a"/>
    <w:link w:val="Char"/>
    <w:uiPriority w:val="99"/>
    <w:unhideWhenUsed/>
    <w:qFormat/>
    <w:rsid w:val="001727CF"/>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1727CF"/>
    <w:pPr>
      <w:pBdr>
        <w:bottom w:val="single" w:sz="6" w:space="1" w:color="auto"/>
      </w:pBdr>
      <w:tabs>
        <w:tab w:val="center" w:pos="4153"/>
        <w:tab w:val="right" w:pos="8306"/>
      </w:tabs>
      <w:snapToGrid w:val="0"/>
      <w:jc w:val="center"/>
    </w:pPr>
    <w:rPr>
      <w:sz w:val="18"/>
      <w:szCs w:val="18"/>
    </w:rPr>
  </w:style>
  <w:style w:type="table" w:styleId="a6">
    <w:name w:val="Table Grid"/>
    <w:basedOn w:val="a2"/>
    <w:uiPriority w:val="59"/>
    <w:qFormat/>
    <w:rsid w:val="001727C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1"/>
    <w:uiPriority w:val="22"/>
    <w:qFormat/>
    <w:rsid w:val="001727CF"/>
    <w:rPr>
      <w:b/>
      <w:bCs/>
    </w:rPr>
  </w:style>
  <w:style w:type="character" w:customStyle="1" w:styleId="font51">
    <w:name w:val="font51"/>
    <w:basedOn w:val="a1"/>
    <w:qFormat/>
    <w:rsid w:val="001727CF"/>
    <w:rPr>
      <w:rFonts w:ascii="仿宋" w:eastAsia="仿宋" w:hAnsi="仿宋" w:cs="仿宋" w:hint="eastAsia"/>
      <w:b/>
      <w:color w:val="000000"/>
      <w:sz w:val="21"/>
      <w:szCs w:val="21"/>
      <w:u w:val="none"/>
    </w:rPr>
  </w:style>
  <w:style w:type="character" w:customStyle="1" w:styleId="font01">
    <w:name w:val="font01"/>
    <w:basedOn w:val="a1"/>
    <w:qFormat/>
    <w:rsid w:val="001727CF"/>
    <w:rPr>
      <w:rFonts w:ascii="Times New Roman" w:hAnsi="Times New Roman" w:cs="Times New Roman" w:hint="default"/>
      <w:b/>
      <w:color w:val="000000"/>
      <w:sz w:val="21"/>
      <w:szCs w:val="21"/>
      <w:u w:val="none"/>
    </w:rPr>
  </w:style>
  <w:style w:type="character" w:customStyle="1" w:styleId="font81">
    <w:name w:val="font81"/>
    <w:basedOn w:val="a1"/>
    <w:qFormat/>
    <w:rsid w:val="001727CF"/>
    <w:rPr>
      <w:rFonts w:ascii="Times New Roman" w:hAnsi="Times New Roman" w:cs="Times New Roman" w:hint="default"/>
      <w:color w:val="000000"/>
      <w:sz w:val="21"/>
      <w:szCs w:val="21"/>
      <w:u w:val="none"/>
    </w:rPr>
  </w:style>
  <w:style w:type="character" w:customStyle="1" w:styleId="font61">
    <w:name w:val="font61"/>
    <w:basedOn w:val="a1"/>
    <w:qFormat/>
    <w:rsid w:val="001727CF"/>
    <w:rPr>
      <w:rFonts w:ascii="仿宋" w:eastAsia="仿宋" w:hAnsi="仿宋" w:cs="仿宋" w:hint="eastAsia"/>
      <w:color w:val="000000"/>
      <w:sz w:val="21"/>
      <w:szCs w:val="21"/>
      <w:u w:val="none"/>
    </w:rPr>
  </w:style>
  <w:style w:type="paragraph" w:styleId="a8">
    <w:name w:val="List Paragraph"/>
    <w:basedOn w:val="a"/>
    <w:uiPriority w:val="34"/>
    <w:qFormat/>
    <w:rsid w:val="001727CF"/>
    <w:pPr>
      <w:ind w:firstLineChars="200" w:firstLine="420"/>
    </w:pPr>
  </w:style>
  <w:style w:type="character" w:customStyle="1" w:styleId="Char0">
    <w:name w:val="页眉 Char"/>
    <w:basedOn w:val="a1"/>
    <w:link w:val="a5"/>
    <w:uiPriority w:val="99"/>
    <w:qFormat/>
    <w:rsid w:val="001727CF"/>
    <w:rPr>
      <w:rFonts w:asciiTheme="minorHAnsi" w:eastAsiaTheme="minorEastAsia" w:hAnsiTheme="minorHAnsi" w:cstheme="minorBidi"/>
      <w:kern w:val="2"/>
      <w:sz w:val="18"/>
      <w:szCs w:val="18"/>
    </w:rPr>
  </w:style>
  <w:style w:type="character" w:customStyle="1" w:styleId="Char">
    <w:name w:val="页脚 Char"/>
    <w:basedOn w:val="a1"/>
    <w:link w:val="a4"/>
    <w:uiPriority w:val="99"/>
    <w:qFormat/>
    <w:rsid w:val="001727C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7</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25142</dc:creator>
  <cp:lastModifiedBy>xbany</cp:lastModifiedBy>
  <cp:revision>4</cp:revision>
  <cp:lastPrinted>2021-11-08T02:50:00Z</cp:lastPrinted>
  <dcterms:created xsi:type="dcterms:W3CDTF">2021-11-08T01:10:00Z</dcterms:created>
  <dcterms:modified xsi:type="dcterms:W3CDTF">2023-04-18T02:09:00Z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CAE573D1BD95440EAA0E64C5F8AB5D50</vt:lpwstr>
  </property>
</Properties>
</file>