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滨江区“污水零直排区”创建工程责任追溯制度</w:t>
      </w:r>
    </w:p>
    <w:p>
      <w:pPr>
        <w:adjustRightInd w:val="0"/>
        <w:snapToGrid w:val="0"/>
        <w:spacing w:after="0" w:line="52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管理办法</w:t>
      </w:r>
    </w:p>
    <w:p>
      <w:pPr>
        <w:adjustRightInd w:val="0"/>
        <w:snapToGrid w:val="0"/>
        <w:spacing w:before="240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（征求意见稿）</w:t>
      </w:r>
    </w:p>
    <w:p>
      <w:pPr>
        <w:pStyle w:val="11"/>
        <w:adjustRightInd w:val="0"/>
        <w:snapToGrid w:val="0"/>
        <w:ind w:left="720" w:hanging="720" w:firstLineChars="0"/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第一章 总则</w:t>
      </w:r>
    </w:p>
    <w:p>
      <w:pPr>
        <w:pStyle w:val="15"/>
        <w:spacing w:line="580" w:lineRule="exact"/>
        <w:ind w:firstLine="562"/>
        <w:rPr>
          <w:color w:val="000000" w:themeColor="text1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第一条 </w:t>
      </w:r>
      <w:r>
        <w:rPr>
          <w:rFonts w:hint="eastAsia"/>
          <w:sz w:val="28"/>
          <w:szCs w:val="28"/>
        </w:rPr>
        <w:t>为加强滨江区“污水零直排区”创建工程管理，提高责任意识，明确职责分工，强化责任追究，保证</w:t>
      </w:r>
      <w:r>
        <w:rPr>
          <w:rFonts w:hint="eastAsia"/>
          <w:color w:val="000000" w:themeColor="text1"/>
          <w:sz w:val="28"/>
          <w:szCs w:val="28"/>
        </w:rPr>
        <w:t>排查整改工作质量，依据《杭州市主城区排水设施长效管理指导意见》《杭州市市政设施管理条例》《城镇排水与污水处理条例》（国务院令第641号）《杭州市“污水零直排区”建设行动方案》等法规和文件要求，结合滨江区“污水零直排区”创建工程实际情况，制定滨江区“污水零直排区”创建工程责任追溯制度管理办法。</w:t>
      </w:r>
    </w:p>
    <w:p>
      <w:pPr>
        <w:adjustRightInd w:val="0"/>
        <w:snapToGrid w:val="0"/>
        <w:spacing w:before="240"/>
        <w:ind w:firstLine="562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 xml:space="preserve">第二条 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本办法适用于滨江区“污水零直排区”创建行动中所涉及的排查、设计、整改、监理等过程中的工作责任。</w:t>
      </w:r>
    </w:p>
    <w:p>
      <w:pPr>
        <w:adjustRightInd w:val="0"/>
        <w:snapToGrid w:val="0"/>
        <w:spacing w:before="240"/>
        <w:ind w:firstLine="562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第三条 </w:t>
      </w:r>
      <w:r>
        <w:rPr>
          <w:rFonts w:hint="eastAsia" w:ascii="仿宋_GB2312" w:eastAsia="仿宋_GB2312"/>
          <w:sz w:val="28"/>
          <w:szCs w:val="28"/>
        </w:rPr>
        <w:t>创建工程责任主体是指承担创建工作的建设单位、承担管网排查检测单位、设计单位、整改单位、监理单位。创建工程开工建设前，各建设主体、排查、设计、整改、监理单位法定代表人或责任主管应明确本单位负责人。</w:t>
      </w:r>
    </w:p>
    <w:p>
      <w:pPr>
        <w:adjustRightInd w:val="0"/>
        <w:snapToGrid w:val="0"/>
        <w:spacing w:after="0"/>
        <w:ind w:firstLine="562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第四条 </w:t>
      </w:r>
      <w:r>
        <w:rPr>
          <w:rFonts w:hint="eastAsia" w:ascii="仿宋_GB2312" w:eastAsia="仿宋_GB2312"/>
          <w:sz w:val="28"/>
          <w:szCs w:val="28"/>
        </w:rPr>
        <w:t>创建工程责任追溯是指参与建设、排查、设计、整改、监理单位的责任主体相关负责人按照国家法律法规和有关规定，在工程保质期内对排查整改工作承担相应责任。其中，工程的质保期由设计单位在初步设计文件中加以明确指出，自合同工程完工验收通过之日起算。</w:t>
      </w:r>
    </w:p>
    <w:p>
      <w:pPr>
        <w:adjustRightInd w:val="0"/>
        <w:snapToGrid w:val="0"/>
        <w:spacing w:before="240"/>
        <w:ind w:firstLine="640" w:firstLineChars="200"/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第二章 职责</w:t>
      </w:r>
    </w:p>
    <w:p>
      <w:pPr>
        <w:adjustRightInd w:val="0"/>
        <w:snapToGrid w:val="0"/>
        <w:spacing w:before="240"/>
        <w:ind w:firstLine="562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第五条 </w:t>
      </w:r>
      <w:r>
        <w:rPr>
          <w:rFonts w:hint="eastAsia" w:ascii="仿宋_GB2312" w:eastAsia="仿宋_GB2312"/>
          <w:sz w:val="28"/>
          <w:szCs w:val="28"/>
        </w:rPr>
        <w:t>滨江住房和城市建设局（环保分局）负责工业园区类（工业企业）排水单元创建工程责任追溯；滨江区城市管理局负责生活小区、其他类排水单元创建工程责任追溯 ；</w:t>
      </w:r>
    </w:p>
    <w:p>
      <w:pPr>
        <w:adjustRightInd w:val="0"/>
        <w:snapToGrid w:val="0"/>
        <w:spacing w:before="240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第六条 </w:t>
      </w:r>
      <w:r>
        <w:rPr>
          <w:rFonts w:hint="eastAsia" w:ascii="仿宋_GB2312" w:eastAsia="仿宋_GB2312"/>
          <w:sz w:val="28"/>
          <w:szCs w:val="28"/>
        </w:rPr>
        <w:t>创建工程各建设主体负责人对“污水零直排区”创建工程负领导责任，建设主体负责人不得以任何理由要求管网排查、设计、整改、监理单位违反法律法规和工程建设标准。</w:t>
      </w:r>
    </w:p>
    <w:p>
      <w:pPr>
        <w:adjustRightInd w:val="0"/>
        <w:snapToGrid w:val="0"/>
        <w:spacing w:before="24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排查、设计单位负责人应当保证排查报告、设计文件符合法律法规和工程建设强制性标准的要求，对其签字的排查报告或设计文件负责，对因排查检测、设计导致的质量问题或安全事故承担责任。</w:t>
      </w:r>
    </w:p>
    <w:p>
      <w:pPr>
        <w:adjustRightInd w:val="0"/>
        <w:snapToGrid w:val="0"/>
        <w:spacing w:before="24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整改单位负责人应对整改工作负责，按照经审查合格的施工图和整改技术标准进行整改，整改单位负责人对因整改导致的质量问题或安全事故承担责任。</w:t>
      </w:r>
    </w:p>
    <w:p>
      <w:pPr>
        <w:adjustRightInd w:val="0"/>
        <w:snapToGrid w:val="0"/>
        <w:spacing w:before="240"/>
        <w:ind w:firstLine="560" w:firstLineChars="2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监理单位负责人应当按照法律法规、有关技术标准、设计文件和工程承包合同进行监理，对排查整改工作承担监理责任。</w:t>
      </w:r>
    </w:p>
    <w:p>
      <w:pPr>
        <w:adjustRightInd w:val="0"/>
        <w:snapToGrid w:val="0"/>
        <w:spacing w:before="240"/>
        <w:ind w:firstLine="562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第七条 </w:t>
      </w:r>
      <w:r>
        <w:rPr>
          <w:rFonts w:hint="eastAsia" w:ascii="仿宋_GB2312" w:eastAsia="仿宋_GB2312"/>
          <w:sz w:val="28"/>
          <w:szCs w:val="28"/>
        </w:rPr>
        <w:t>建设主体应当建立各方单位负责人责任信息档案，将创建开展的排水单元普查、雨污管网排查、雨污分流整改等所有排查、设计、整改和验收资料归档。档案一式三份，一份由各方责任主体留存，一份与竣工验收备案材料一并报</w:t>
      </w:r>
      <w:r>
        <w:rPr>
          <w:rFonts w:hint="eastAsia" w:ascii="仿宋_GB2312" w:eastAsia="仿宋_GB2312"/>
          <w:sz w:val="28"/>
          <w:szCs w:val="28"/>
          <w:lang w:eastAsia="zh-CN"/>
        </w:rPr>
        <w:t>创建主体</w:t>
      </w:r>
      <w:r>
        <w:rPr>
          <w:rFonts w:hint="eastAsia" w:ascii="仿宋_GB2312" w:eastAsia="仿宋_GB2312"/>
          <w:sz w:val="28"/>
          <w:szCs w:val="28"/>
        </w:rPr>
        <w:t>备案，一份在创建验收合格后与工程技术材料一并移交滨江区城建档案馆。</w:t>
      </w:r>
    </w:p>
    <w:p>
      <w:pPr>
        <w:adjustRightInd w:val="0"/>
        <w:snapToGrid w:val="0"/>
        <w:spacing w:before="240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第八条 </w:t>
      </w:r>
      <w:r>
        <w:rPr>
          <w:rFonts w:hint="eastAsia" w:ascii="仿宋_GB2312" w:eastAsia="仿宋_GB2312"/>
          <w:sz w:val="28"/>
          <w:szCs w:val="28"/>
        </w:rPr>
        <w:t>各建设主体负责人在办理创建工程发包手续时，应</w:t>
      </w:r>
      <w:r>
        <w:rPr>
          <w:rFonts w:hint="eastAsia" w:ascii="仿宋_GB2312" w:eastAsia="仿宋_GB2312"/>
          <w:sz w:val="28"/>
          <w:szCs w:val="28"/>
          <w:lang w:eastAsia="zh-CN"/>
        </w:rPr>
        <w:t>了解发包合同</w:t>
      </w:r>
      <w:r>
        <w:rPr>
          <w:rFonts w:hint="eastAsia" w:ascii="仿宋_GB2312" w:eastAsia="仿宋_GB2312"/>
          <w:sz w:val="28"/>
          <w:szCs w:val="28"/>
        </w:rPr>
        <w:t>内容，明确排查、整改、设计、监理单位责任人的创建责任，落实创建工程责任追溯的要求。单位负责人如有变更的，</w:t>
      </w:r>
      <w:r>
        <w:rPr>
          <w:rFonts w:hint="eastAsia" w:ascii="仿宋_GB2312" w:eastAsia="仿宋_GB2312"/>
          <w:sz w:val="28"/>
          <w:szCs w:val="28"/>
          <w:lang w:eastAsia="zh-CN"/>
        </w:rPr>
        <w:t>需</w:t>
      </w:r>
      <w:r>
        <w:rPr>
          <w:rFonts w:hint="eastAsia" w:ascii="仿宋_GB2312" w:eastAsia="仿宋_GB2312"/>
          <w:sz w:val="28"/>
          <w:szCs w:val="28"/>
        </w:rPr>
        <w:t>同步变更创建工程责任信息登记表。</w:t>
      </w:r>
    </w:p>
    <w:p>
      <w:pPr>
        <w:adjustRightInd w:val="0"/>
        <w:snapToGrid w:val="0"/>
        <w:spacing w:before="360"/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第三章 责任追究</w:t>
      </w:r>
    </w:p>
    <w:p>
      <w:pPr>
        <w:adjustRightInd w:val="0"/>
        <w:snapToGrid w:val="0"/>
        <w:ind w:firstLine="562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第九条 </w:t>
      </w:r>
      <w:r>
        <w:rPr>
          <w:rFonts w:hint="eastAsia" w:ascii="仿宋_GB2312" w:eastAsia="仿宋_GB2312"/>
          <w:sz w:val="28"/>
          <w:szCs w:val="28"/>
        </w:rPr>
        <w:t>符合下列情形之一的，相关创建工程责任追溯部门应当依法追究单位负责人的相应责任：</w:t>
      </w:r>
    </w:p>
    <w:p>
      <w:pPr>
        <w:adjustRightInd w:val="0"/>
        <w:snapToGrid w:val="0"/>
        <w:spacing w:before="24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（一）排查整改过程中发生的工程质量问题或安全事故；</w:t>
      </w:r>
    </w:p>
    <w:p>
      <w:pPr>
        <w:adjustRightInd w:val="0"/>
        <w:snapToGrid w:val="0"/>
        <w:spacing w:after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（二）由于排查检测、设计或整改原因造成尚在质保期内的工程不能正常发挥作用，例如排查不全面、设计标准低、整改未到位等。</w:t>
      </w:r>
    </w:p>
    <w:p>
      <w:pPr>
        <w:adjustRightInd w:val="0"/>
        <w:snapToGrid w:val="0"/>
        <w:spacing w:after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（三）整改完成后仍存在雨污混流、河道异常排污（水）口等问题。</w:t>
      </w:r>
    </w:p>
    <w:p>
      <w:pPr>
        <w:adjustRightInd w:val="0"/>
        <w:snapToGrid w:val="0"/>
        <w:spacing w:before="24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（四）发生公众投诉、举报、媒体报道并造成不良社会影响的严重质量问题，例如管网排水不畅导致城市内涝、污水管满溢等问题。</w:t>
      </w:r>
    </w:p>
    <w:p>
      <w:pPr>
        <w:adjustRightInd w:val="0"/>
        <w:snapToGrid w:val="0"/>
        <w:spacing w:before="24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（五）存在其他与排查整改相关的需要追究责任的违法违规行为。</w:t>
      </w:r>
    </w:p>
    <w:p>
      <w:pPr>
        <w:adjustRightInd w:val="0"/>
        <w:snapToGrid w:val="0"/>
        <w:spacing w:before="240"/>
        <w:ind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第十条 </w:t>
      </w:r>
      <w:r>
        <w:rPr>
          <w:rFonts w:hint="eastAsia" w:ascii="仿宋_GB2312" w:eastAsia="仿宋_GB2312"/>
          <w:sz w:val="28"/>
          <w:szCs w:val="28"/>
        </w:rPr>
        <w:t>针对创建工程过程中出现的质量问题或安全事故，由建设主体组织鉴定、查明原因、明确相关责任，进行责任追究。对排查、设计、整改、监理单位</w:t>
      </w:r>
      <w:r>
        <w:rPr>
          <w:rFonts w:hint="eastAsia" w:ascii="仿宋_GB2312" w:eastAsia="仿宋_GB2312"/>
          <w:sz w:val="28"/>
          <w:szCs w:val="28"/>
          <w:lang w:eastAsia="zh-CN"/>
        </w:rPr>
        <w:t>依据相关法律法规进行处罚。</w:t>
      </w:r>
      <w:bookmarkStart w:id="0" w:name="_GoBack"/>
      <w:bookmarkEnd w:id="0"/>
    </w:p>
    <w:p>
      <w:pPr>
        <w:adjustRightInd w:val="0"/>
        <w:snapToGrid w:val="0"/>
        <w:spacing w:before="24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针对工业企业中自行整改的产权单位，责任追溯至自行整改的工业企业即可。</w:t>
      </w:r>
    </w:p>
    <w:p>
      <w:pPr>
        <w:adjustRightInd w:val="0"/>
        <w:snapToGrid w:val="0"/>
        <w:spacing w:before="240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针对排查整改完成后尚在质保期内的工程出现雨污混流、异常排口等问题，创建工程责任追溯主管部门进行问题鉴定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  <w:r>
        <w:rPr>
          <w:rFonts w:hint="eastAsia" w:ascii="仿宋_GB2312" w:eastAsia="仿宋_GB2312"/>
          <w:sz w:val="28"/>
          <w:szCs w:val="28"/>
        </w:rPr>
        <w:t>市政雨水管由城管局负责查明原因，市政污水管由水务公司负责查明原因。若为排水单元的责任，则由排水单元创建主体责令其限期整改到位。若为排查整改单位的责任，则追究排查、整改单位相应责任。</w:t>
      </w:r>
    </w:p>
    <w:p>
      <w:pPr>
        <w:adjustRightInd w:val="0"/>
        <w:snapToGrid w:val="0"/>
        <w:spacing w:before="240" w:after="0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第十一条 </w:t>
      </w:r>
      <w:r>
        <w:rPr>
          <w:rFonts w:hint="eastAsia" w:ascii="仿宋_GB2312" w:eastAsia="仿宋_GB2312"/>
          <w:sz w:val="28"/>
          <w:szCs w:val="28"/>
        </w:rPr>
        <w:t>创建工程责任所对应的工程发生下列情形之一时，相应责任即告解除：</w:t>
      </w:r>
    </w:p>
    <w:p>
      <w:pPr>
        <w:adjustRightInd w:val="0"/>
        <w:snapToGrid w:val="0"/>
        <w:spacing w:before="120" w:after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（一）已达到施工合同规定的质保年限；</w:t>
      </w:r>
    </w:p>
    <w:p>
      <w:pPr>
        <w:adjustRightInd w:val="0"/>
        <w:snapToGrid w:val="0"/>
        <w:spacing w:before="120" w:after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（二）非质量责任原因导致的相应工程提前拆除或宣告废弃；</w:t>
      </w:r>
    </w:p>
    <w:p>
      <w:pPr>
        <w:adjustRightInd w:val="0"/>
        <w:snapToGrid w:val="0"/>
        <w:spacing w:before="120" w:after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（三）超出设计标准的外部因素或不可抗力作用下破坏；</w:t>
      </w:r>
    </w:p>
    <w:p>
      <w:pPr>
        <w:adjustRightInd w:val="0"/>
        <w:snapToGrid w:val="0"/>
        <w:spacing w:before="120" w:after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（四）后续管理不到位或养护不及时等原因造成的工程质量问题；</w:t>
      </w:r>
    </w:p>
    <w:p>
      <w:pPr>
        <w:adjustRightInd w:val="0"/>
        <w:snapToGrid w:val="0"/>
        <w:spacing w:before="12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（五）其他法定的免责情形；</w:t>
      </w:r>
    </w:p>
    <w:p>
      <w:pPr>
        <w:adjustRightInd w:val="0"/>
        <w:snapToGrid w:val="0"/>
        <w:ind w:firstLine="640" w:firstLineChars="200"/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第四章 附则</w:t>
      </w:r>
    </w:p>
    <w:p>
      <w:pPr>
        <w:adjustRightInd w:val="0"/>
        <w:snapToGrid w:val="0"/>
        <w:spacing w:before="240"/>
        <w:ind w:firstLine="562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第十二条 </w:t>
      </w:r>
      <w:r>
        <w:rPr>
          <w:rFonts w:hint="eastAsia" w:ascii="仿宋_GB2312" w:eastAsia="仿宋_GB2312"/>
          <w:sz w:val="28"/>
          <w:szCs w:val="28"/>
        </w:rPr>
        <w:t>本办法由滨江区城市管理局、住房和城市建设局（环保分局）及“五水共治”工作领导小组办公室联合负责解释。</w:t>
      </w:r>
    </w:p>
    <w:p>
      <w:pPr>
        <w:adjustRightInd w:val="0"/>
        <w:snapToGrid w:val="0"/>
        <w:spacing w:before="240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第十三条 </w:t>
      </w:r>
      <w:r>
        <w:rPr>
          <w:rFonts w:hint="eastAsia" w:ascii="仿宋_GB2312" w:eastAsia="仿宋_GB2312"/>
          <w:sz w:val="28"/>
          <w:szCs w:val="28"/>
        </w:rPr>
        <w:t>本办法于发文之日起生效。</w:t>
      </w:r>
    </w:p>
    <w:p>
      <w:pPr>
        <w:adjustRightInd w:val="0"/>
        <w:snapToGrid w:val="0"/>
        <w:spacing w:before="24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before="240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spacing w:before="2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jc w:val="center"/>
        <w:rPr>
          <w:rFonts w:ascii="宋体" w:hAnsi="宋体" w:eastAsia="宋体"/>
          <w:b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sz w:val="32"/>
          <w:szCs w:val="32"/>
        </w:rPr>
        <w:t>创建工程信息登记表</w:t>
      </w:r>
    </w:p>
    <w:tbl>
      <w:tblPr>
        <w:tblStyle w:val="7"/>
        <w:tblW w:w="8177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484"/>
        <w:gridCol w:w="942"/>
        <w:gridCol w:w="904"/>
        <w:gridCol w:w="655"/>
        <w:gridCol w:w="957"/>
        <w:gridCol w:w="177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6499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工程地址</w:t>
            </w:r>
          </w:p>
        </w:tc>
        <w:tc>
          <w:tcPr>
            <w:tcW w:w="6499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开工日期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竣工日期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5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单位负责人姓名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</w:p>
          <w:p>
            <w:pPr>
              <w:jc w:val="center"/>
            </w:pPr>
            <w:r>
              <w:rPr>
                <w:rFonts w:hint="eastAsia"/>
              </w:rPr>
              <w:t>证书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排查单位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5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单位负责人姓名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</w:p>
          <w:p>
            <w:pPr>
              <w:jc w:val="center"/>
            </w:pPr>
            <w:r>
              <w:rPr>
                <w:rFonts w:hint="eastAsia"/>
              </w:rPr>
              <w:t>证书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设计单位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5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单位负责人姓名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</w:p>
          <w:p>
            <w:pPr>
              <w:jc w:val="center"/>
            </w:pPr>
            <w:r>
              <w:rPr>
                <w:rFonts w:hint="eastAsia"/>
              </w:rPr>
              <w:t>证书号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整改单位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5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单位负责人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</w:p>
          <w:p>
            <w:pPr>
              <w:jc w:val="center"/>
            </w:pPr>
            <w:r>
              <w:rPr>
                <w:rFonts w:hint="eastAsia"/>
              </w:rPr>
              <w:t>证书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监理单位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55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单位负责人姓名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</w:p>
          <w:p>
            <w:pPr>
              <w:jc w:val="center"/>
            </w:pPr>
            <w:r>
              <w:rPr>
                <w:rFonts w:hint="eastAsia"/>
              </w:rPr>
              <w:t>证书号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</w:pPr>
          </w:p>
        </w:tc>
      </w:tr>
    </w:tbl>
    <w:p>
      <w:pPr>
        <w:adjustRightInd w:val="0"/>
        <w:snapToGrid w:val="0"/>
        <w:spacing w:before="240"/>
        <w:rPr>
          <w:rFonts w:ascii="仿宋_GB2312" w:hAnsi="黑体" w:eastAsia="仿宋_GB2312"/>
          <w:color w:val="000000"/>
          <w:sz w:val="28"/>
          <w:szCs w:val="32"/>
        </w:rPr>
      </w:pPr>
    </w:p>
    <w:p>
      <w:pPr>
        <w:adjustRightInd w:val="0"/>
        <w:snapToGrid w:val="0"/>
        <w:spacing w:before="240"/>
        <w:rPr>
          <w:rFonts w:ascii="仿宋_GB2312" w:hAnsi="黑体" w:eastAsia="仿宋_GB2312"/>
          <w:color w:val="000000"/>
          <w:sz w:val="28"/>
          <w:szCs w:val="32"/>
        </w:rPr>
      </w:pPr>
    </w:p>
    <w:p>
      <w:pPr>
        <w:shd w:val="clear" w:color="auto" w:fill="FFFFFF"/>
        <w:spacing w:line="560" w:lineRule="exact"/>
        <w:ind w:right="640"/>
        <w:rPr>
          <w:rFonts w:ascii="仿宋_GB2312" w:hAnsi="黑体" w:eastAsia="仿宋_GB2312"/>
          <w:color w:val="000000"/>
          <w:sz w:val="28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numPr>
          <w:ilvl w:val="0"/>
          <w:numId w:val="1"/>
        </w:numPr>
        <w:jc w:val="both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住建部《建筑工程五方责任主体项目负责人质量终身责任追究暂行办法》（建质[</w:t>
      </w:r>
      <w:r>
        <w:rPr>
          <w:rFonts w:ascii="仿宋_GB2312" w:eastAsia="仿宋_GB2312"/>
          <w:sz w:val="28"/>
          <w:szCs w:val="28"/>
        </w:rPr>
        <w:t>2014]124</w:t>
      </w:r>
      <w:r>
        <w:rPr>
          <w:rFonts w:hint="eastAsia" w:ascii="仿宋_GB2312" w:eastAsia="仿宋_GB2312"/>
          <w:sz w:val="28"/>
          <w:szCs w:val="28"/>
        </w:rPr>
        <w:t>号）</w:t>
      </w:r>
    </w:p>
    <w:p>
      <w:pPr>
        <w:numPr>
          <w:ilvl w:val="0"/>
          <w:numId w:val="0"/>
        </w:numPr>
        <w:jc w:val="both"/>
        <w:rPr>
          <w:rFonts w:hint="eastAsia" w:ascii="仿宋_GB2312" w:hAnsi="黑体" w:eastAsia="仿宋_GB231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E243"/>
    <w:multiLevelType w:val="singleLevel"/>
    <w:tmpl w:val="5100E2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544D"/>
    <w:rsid w:val="00011AF0"/>
    <w:rsid w:val="0001240A"/>
    <w:rsid w:val="00017E5E"/>
    <w:rsid w:val="00047D07"/>
    <w:rsid w:val="00062A56"/>
    <w:rsid w:val="00090B1D"/>
    <w:rsid w:val="00094ECF"/>
    <w:rsid w:val="000A3911"/>
    <w:rsid w:val="000B01B1"/>
    <w:rsid w:val="000C493E"/>
    <w:rsid w:val="000D2176"/>
    <w:rsid w:val="000D7134"/>
    <w:rsid w:val="00112CFB"/>
    <w:rsid w:val="0013476B"/>
    <w:rsid w:val="001409FD"/>
    <w:rsid w:val="00143D10"/>
    <w:rsid w:val="00147330"/>
    <w:rsid w:val="00153D3C"/>
    <w:rsid w:val="00187E88"/>
    <w:rsid w:val="0019200A"/>
    <w:rsid w:val="001A52AC"/>
    <w:rsid w:val="001A6EB9"/>
    <w:rsid w:val="001D63FC"/>
    <w:rsid w:val="001E3CA4"/>
    <w:rsid w:val="001E4C2E"/>
    <w:rsid w:val="001E673F"/>
    <w:rsid w:val="001E754C"/>
    <w:rsid w:val="001F682A"/>
    <w:rsid w:val="002038F3"/>
    <w:rsid w:val="002233A6"/>
    <w:rsid w:val="00232E18"/>
    <w:rsid w:val="00234A42"/>
    <w:rsid w:val="00244DEC"/>
    <w:rsid w:val="00253775"/>
    <w:rsid w:val="002650EC"/>
    <w:rsid w:val="002664F3"/>
    <w:rsid w:val="00294829"/>
    <w:rsid w:val="00295DBE"/>
    <w:rsid w:val="002A36B2"/>
    <w:rsid w:val="002B61DA"/>
    <w:rsid w:val="002C4768"/>
    <w:rsid w:val="002D757C"/>
    <w:rsid w:val="002E7FD9"/>
    <w:rsid w:val="002F4919"/>
    <w:rsid w:val="0030014E"/>
    <w:rsid w:val="00300FA0"/>
    <w:rsid w:val="00302FBB"/>
    <w:rsid w:val="00305B99"/>
    <w:rsid w:val="00311E6B"/>
    <w:rsid w:val="003137A3"/>
    <w:rsid w:val="00314411"/>
    <w:rsid w:val="00320AEB"/>
    <w:rsid w:val="00321BAD"/>
    <w:rsid w:val="00323B43"/>
    <w:rsid w:val="003378B1"/>
    <w:rsid w:val="00354BBB"/>
    <w:rsid w:val="00356BBC"/>
    <w:rsid w:val="003946C9"/>
    <w:rsid w:val="003A2648"/>
    <w:rsid w:val="003B5FB0"/>
    <w:rsid w:val="003C7F78"/>
    <w:rsid w:val="003D26CB"/>
    <w:rsid w:val="003D37D8"/>
    <w:rsid w:val="003E164B"/>
    <w:rsid w:val="003F111B"/>
    <w:rsid w:val="003F1626"/>
    <w:rsid w:val="003F7CD6"/>
    <w:rsid w:val="00414B9F"/>
    <w:rsid w:val="00426133"/>
    <w:rsid w:val="00434339"/>
    <w:rsid w:val="004358AB"/>
    <w:rsid w:val="00476BD8"/>
    <w:rsid w:val="004A484D"/>
    <w:rsid w:val="004B0CAE"/>
    <w:rsid w:val="004D187B"/>
    <w:rsid w:val="004D3383"/>
    <w:rsid w:val="004D3BA0"/>
    <w:rsid w:val="004E3667"/>
    <w:rsid w:val="0052617B"/>
    <w:rsid w:val="00535328"/>
    <w:rsid w:val="00546B55"/>
    <w:rsid w:val="005510C7"/>
    <w:rsid w:val="00553613"/>
    <w:rsid w:val="0057092B"/>
    <w:rsid w:val="00587480"/>
    <w:rsid w:val="005B044D"/>
    <w:rsid w:val="005B04CB"/>
    <w:rsid w:val="005B20FC"/>
    <w:rsid w:val="005E4F03"/>
    <w:rsid w:val="00614025"/>
    <w:rsid w:val="0061593F"/>
    <w:rsid w:val="00661B7E"/>
    <w:rsid w:val="00663CC4"/>
    <w:rsid w:val="00676821"/>
    <w:rsid w:val="00685060"/>
    <w:rsid w:val="00686201"/>
    <w:rsid w:val="006931A4"/>
    <w:rsid w:val="00696D47"/>
    <w:rsid w:val="00697555"/>
    <w:rsid w:val="006B0FAA"/>
    <w:rsid w:val="006B205B"/>
    <w:rsid w:val="006B2FC3"/>
    <w:rsid w:val="006C3BAC"/>
    <w:rsid w:val="006D4B54"/>
    <w:rsid w:val="006D6315"/>
    <w:rsid w:val="006D7A26"/>
    <w:rsid w:val="006E52B8"/>
    <w:rsid w:val="007015BB"/>
    <w:rsid w:val="00727BC1"/>
    <w:rsid w:val="007300DC"/>
    <w:rsid w:val="007333F0"/>
    <w:rsid w:val="007653B6"/>
    <w:rsid w:val="007720C7"/>
    <w:rsid w:val="00783416"/>
    <w:rsid w:val="00803FE0"/>
    <w:rsid w:val="008141EE"/>
    <w:rsid w:val="00815DF9"/>
    <w:rsid w:val="008303A9"/>
    <w:rsid w:val="00830716"/>
    <w:rsid w:val="00831266"/>
    <w:rsid w:val="00833B77"/>
    <w:rsid w:val="00835D3C"/>
    <w:rsid w:val="008414C7"/>
    <w:rsid w:val="00850161"/>
    <w:rsid w:val="00865258"/>
    <w:rsid w:val="0088660A"/>
    <w:rsid w:val="008B2D9E"/>
    <w:rsid w:val="008B35B8"/>
    <w:rsid w:val="008B6448"/>
    <w:rsid w:val="008B7726"/>
    <w:rsid w:val="008C3BB7"/>
    <w:rsid w:val="008D139F"/>
    <w:rsid w:val="008D1E04"/>
    <w:rsid w:val="008D396D"/>
    <w:rsid w:val="008E7FE7"/>
    <w:rsid w:val="009045D3"/>
    <w:rsid w:val="00914176"/>
    <w:rsid w:val="00927AE1"/>
    <w:rsid w:val="00930330"/>
    <w:rsid w:val="009348F5"/>
    <w:rsid w:val="00940740"/>
    <w:rsid w:val="00942904"/>
    <w:rsid w:val="0094690C"/>
    <w:rsid w:val="009542FC"/>
    <w:rsid w:val="00957104"/>
    <w:rsid w:val="009577EE"/>
    <w:rsid w:val="00962691"/>
    <w:rsid w:val="009828B7"/>
    <w:rsid w:val="009A5160"/>
    <w:rsid w:val="009A6F2C"/>
    <w:rsid w:val="009D4804"/>
    <w:rsid w:val="009F600F"/>
    <w:rsid w:val="00A237A7"/>
    <w:rsid w:val="00A25BBA"/>
    <w:rsid w:val="00A40D7F"/>
    <w:rsid w:val="00A410D2"/>
    <w:rsid w:val="00A44109"/>
    <w:rsid w:val="00A57C01"/>
    <w:rsid w:val="00A75BD4"/>
    <w:rsid w:val="00B01F7A"/>
    <w:rsid w:val="00B20003"/>
    <w:rsid w:val="00B3085D"/>
    <w:rsid w:val="00B3301C"/>
    <w:rsid w:val="00B527B0"/>
    <w:rsid w:val="00B81A4C"/>
    <w:rsid w:val="00B84B1F"/>
    <w:rsid w:val="00B95EA5"/>
    <w:rsid w:val="00BA1149"/>
    <w:rsid w:val="00BA54B6"/>
    <w:rsid w:val="00BA7537"/>
    <w:rsid w:val="00BC4D26"/>
    <w:rsid w:val="00C02B66"/>
    <w:rsid w:val="00C132FC"/>
    <w:rsid w:val="00C13BD6"/>
    <w:rsid w:val="00C17611"/>
    <w:rsid w:val="00C214D5"/>
    <w:rsid w:val="00CB0DF9"/>
    <w:rsid w:val="00CB24A6"/>
    <w:rsid w:val="00CB7D3E"/>
    <w:rsid w:val="00CC466A"/>
    <w:rsid w:val="00CC7BFE"/>
    <w:rsid w:val="00D06ED4"/>
    <w:rsid w:val="00D16168"/>
    <w:rsid w:val="00D31D50"/>
    <w:rsid w:val="00D36D4A"/>
    <w:rsid w:val="00D516E0"/>
    <w:rsid w:val="00D74178"/>
    <w:rsid w:val="00DC7A8E"/>
    <w:rsid w:val="00DD68D7"/>
    <w:rsid w:val="00DD72B2"/>
    <w:rsid w:val="00DE22B6"/>
    <w:rsid w:val="00DE46AC"/>
    <w:rsid w:val="00DE725D"/>
    <w:rsid w:val="00E47FCC"/>
    <w:rsid w:val="00E533F6"/>
    <w:rsid w:val="00E6397B"/>
    <w:rsid w:val="00EA6A2C"/>
    <w:rsid w:val="00EB36E8"/>
    <w:rsid w:val="00EB44F0"/>
    <w:rsid w:val="00ED14C3"/>
    <w:rsid w:val="00ED4A43"/>
    <w:rsid w:val="00EE68C6"/>
    <w:rsid w:val="00EF2393"/>
    <w:rsid w:val="00F14AEB"/>
    <w:rsid w:val="00F42AC0"/>
    <w:rsid w:val="00F468E0"/>
    <w:rsid w:val="00F56202"/>
    <w:rsid w:val="00F64EC1"/>
    <w:rsid w:val="00F6538F"/>
    <w:rsid w:val="00F861FA"/>
    <w:rsid w:val="00F9185D"/>
    <w:rsid w:val="00F91CEF"/>
    <w:rsid w:val="00F93284"/>
    <w:rsid w:val="00FA3E78"/>
    <w:rsid w:val="00FB0C8B"/>
    <w:rsid w:val="00FB4501"/>
    <w:rsid w:val="018976E5"/>
    <w:rsid w:val="01D44540"/>
    <w:rsid w:val="032E4D78"/>
    <w:rsid w:val="03A9223D"/>
    <w:rsid w:val="03D63726"/>
    <w:rsid w:val="03DF25BA"/>
    <w:rsid w:val="05797FB7"/>
    <w:rsid w:val="060F76FA"/>
    <w:rsid w:val="06120258"/>
    <w:rsid w:val="072A6FA4"/>
    <w:rsid w:val="088169D7"/>
    <w:rsid w:val="09653C05"/>
    <w:rsid w:val="09DC6605"/>
    <w:rsid w:val="0A3B1126"/>
    <w:rsid w:val="0AD01514"/>
    <w:rsid w:val="0BAA3534"/>
    <w:rsid w:val="0D59156B"/>
    <w:rsid w:val="0DDA672E"/>
    <w:rsid w:val="0FA848DD"/>
    <w:rsid w:val="100752BE"/>
    <w:rsid w:val="11D302FE"/>
    <w:rsid w:val="129E664D"/>
    <w:rsid w:val="136E75E5"/>
    <w:rsid w:val="155772FA"/>
    <w:rsid w:val="16DD4917"/>
    <w:rsid w:val="17965F30"/>
    <w:rsid w:val="17C16E8A"/>
    <w:rsid w:val="17CB1D66"/>
    <w:rsid w:val="19355B2D"/>
    <w:rsid w:val="19E157B8"/>
    <w:rsid w:val="1A6F0589"/>
    <w:rsid w:val="1B485A6F"/>
    <w:rsid w:val="1B503D92"/>
    <w:rsid w:val="1C44192B"/>
    <w:rsid w:val="1C7D2F42"/>
    <w:rsid w:val="1E1D6994"/>
    <w:rsid w:val="1F6404CA"/>
    <w:rsid w:val="201139D4"/>
    <w:rsid w:val="206476BF"/>
    <w:rsid w:val="206A7E45"/>
    <w:rsid w:val="20D120E4"/>
    <w:rsid w:val="21B266DA"/>
    <w:rsid w:val="21C3443C"/>
    <w:rsid w:val="22A2550D"/>
    <w:rsid w:val="22F47D6D"/>
    <w:rsid w:val="248B789C"/>
    <w:rsid w:val="25052C44"/>
    <w:rsid w:val="26412F41"/>
    <w:rsid w:val="27B03E9F"/>
    <w:rsid w:val="27B053E2"/>
    <w:rsid w:val="27DC5960"/>
    <w:rsid w:val="2813644B"/>
    <w:rsid w:val="287F5755"/>
    <w:rsid w:val="296F0FC6"/>
    <w:rsid w:val="2B68400E"/>
    <w:rsid w:val="2CA16B76"/>
    <w:rsid w:val="2D20165D"/>
    <w:rsid w:val="30E45203"/>
    <w:rsid w:val="323A2388"/>
    <w:rsid w:val="332F5497"/>
    <w:rsid w:val="33A61B89"/>
    <w:rsid w:val="350A5F0B"/>
    <w:rsid w:val="3514103C"/>
    <w:rsid w:val="35BA19B3"/>
    <w:rsid w:val="36AA243A"/>
    <w:rsid w:val="37361703"/>
    <w:rsid w:val="37E24B13"/>
    <w:rsid w:val="3868066C"/>
    <w:rsid w:val="39736311"/>
    <w:rsid w:val="39BE4515"/>
    <w:rsid w:val="3ABB5EA8"/>
    <w:rsid w:val="3BAE7ED3"/>
    <w:rsid w:val="3BC842C0"/>
    <w:rsid w:val="3BCB021C"/>
    <w:rsid w:val="3CEA79DD"/>
    <w:rsid w:val="3DBC7D2D"/>
    <w:rsid w:val="3FE97E6B"/>
    <w:rsid w:val="4023521B"/>
    <w:rsid w:val="414312C0"/>
    <w:rsid w:val="42803564"/>
    <w:rsid w:val="457653C0"/>
    <w:rsid w:val="45770578"/>
    <w:rsid w:val="458177A3"/>
    <w:rsid w:val="48AF7E9D"/>
    <w:rsid w:val="49F03F46"/>
    <w:rsid w:val="49FE6300"/>
    <w:rsid w:val="4B25181E"/>
    <w:rsid w:val="4B8E1369"/>
    <w:rsid w:val="50091C0D"/>
    <w:rsid w:val="51FA6DD2"/>
    <w:rsid w:val="52FF690B"/>
    <w:rsid w:val="54A75078"/>
    <w:rsid w:val="55E80DA9"/>
    <w:rsid w:val="564B4CD1"/>
    <w:rsid w:val="5714718C"/>
    <w:rsid w:val="581665BB"/>
    <w:rsid w:val="583419A3"/>
    <w:rsid w:val="58775D66"/>
    <w:rsid w:val="58825250"/>
    <w:rsid w:val="58FD484A"/>
    <w:rsid w:val="59957A38"/>
    <w:rsid w:val="59E61D8A"/>
    <w:rsid w:val="5A287E37"/>
    <w:rsid w:val="5AA86FE2"/>
    <w:rsid w:val="5ACF33DF"/>
    <w:rsid w:val="5AFE3E65"/>
    <w:rsid w:val="5CC0509D"/>
    <w:rsid w:val="5D4A692B"/>
    <w:rsid w:val="5E3C774D"/>
    <w:rsid w:val="5F0C71BD"/>
    <w:rsid w:val="5F76446B"/>
    <w:rsid w:val="61260F6E"/>
    <w:rsid w:val="61B1189E"/>
    <w:rsid w:val="6208691A"/>
    <w:rsid w:val="63863EE4"/>
    <w:rsid w:val="643673DF"/>
    <w:rsid w:val="65D260DE"/>
    <w:rsid w:val="65D835E8"/>
    <w:rsid w:val="66066FF5"/>
    <w:rsid w:val="665A5210"/>
    <w:rsid w:val="665B3484"/>
    <w:rsid w:val="67253343"/>
    <w:rsid w:val="672A4813"/>
    <w:rsid w:val="674A6B28"/>
    <w:rsid w:val="67D0790A"/>
    <w:rsid w:val="68703964"/>
    <w:rsid w:val="699759E8"/>
    <w:rsid w:val="69DD7667"/>
    <w:rsid w:val="6BC06955"/>
    <w:rsid w:val="6BCF364D"/>
    <w:rsid w:val="6C0976F0"/>
    <w:rsid w:val="6C2A5FA3"/>
    <w:rsid w:val="6D431AB9"/>
    <w:rsid w:val="6DEA5386"/>
    <w:rsid w:val="6ED2671A"/>
    <w:rsid w:val="6FAE323D"/>
    <w:rsid w:val="6FBC3DD4"/>
    <w:rsid w:val="708D6A95"/>
    <w:rsid w:val="72525036"/>
    <w:rsid w:val="73026EDF"/>
    <w:rsid w:val="736C6A7D"/>
    <w:rsid w:val="759B6040"/>
    <w:rsid w:val="77596C66"/>
    <w:rsid w:val="78267956"/>
    <w:rsid w:val="78501245"/>
    <w:rsid w:val="786A534C"/>
    <w:rsid w:val="78FB1EC7"/>
    <w:rsid w:val="791D0EEE"/>
    <w:rsid w:val="79C11C37"/>
    <w:rsid w:val="7AD136DD"/>
    <w:rsid w:val="7B887036"/>
    <w:rsid w:val="7BFE51E6"/>
    <w:rsid w:val="7D366416"/>
    <w:rsid w:val="7D9D7F45"/>
    <w:rsid w:val="7DE11FFE"/>
    <w:rsid w:val="7EBE5D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3">
    <w:name w:val="reader-word-layer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character" w:customStyle="1" w:styleId="14">
    <w:name w:val="正文01 Char"/>
    <w:link w:val="15"/>
    <w:qFormat/>
    <w:locked/>
    <w:uiPriority w:val="0"/>
    <w:rPr>
      <w:rFonts w:ascii="仿宋_GB2312" w:eastAsia="仿宋_GB2312"/>
      <w:sz w:val="32"/>
      <w:szCs w:val="32"/>
    </w:rPr>
  </w:style>
  <w:style w:type="paragraph" w:customStyle="1" w:styleId="15">
    <w:name w:val="正文01"/>
    <w:basedOn w:val="1"/>
    <w:link w:val="14"/>
    <w:qFormat/>
    <w:uiPriority w:val="0"/>
    <w:pPr>
      <w:widowControl w:val="0"/>
      <w:spacing w:after="0" w:line="560" w:lineRule="exact"/>
      <w:ind w:firstLine="200" w:firstLineChars="200"/>
      <w:jc w:val="both"/>
    </w:pPr>
    <w:rPr>
      <w:rFonts w:ascii="仿宋_GB2312" w:eastAsia="仿宋_GB2312" w:hAnsiTheme="minorHAns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5AF323-0D37-40D5-AF18-2AD302B938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328</Words>
  <Characters>1873</Characters>
  <Lines>15</Lines>
  <Paragraphs>4</Paragraphs>
  <TotalTime>55</TotalTime>
  <ScaleCrop>false</ScaleCrop>
  <LinksUpToDate>false</LinksUpToDate>
  <CharactersWithSpaces>2197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2018-09-20T06:56:00Z</dcterms:created>
  <dc:creator>潘海龙</dc:creator>
  <cp:lastModifiedBy>千遇千寻</cp:lastModifiedBy>
  <cp:lastPrinted>2018-09-26T06:50:00Z</cp:lastPrinted>
  <dcterms:modified xsi:type="dcterms:W3CDTF">2018-12-12T08:44:06Z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