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6BD" w:rsidRDefault="001C09C4">
      <w:pPr>
        <w:adjustRightInd w:val="0"/>
        <w:snapToGrid w:val="0"/>
        <w:spacing w:line="360" w:lineRule="auto"/>
        <w:jc w:val="center"/>
        <w:rPr>
          <w:rFonts w:ascii="黑体" w:eastAsia="黑体" w:hAnsi="黑体"/>
          <w:sz w:val="44"/>
          <w:szCs w:val="44"/>
        </w:rPr>
      </w:pPr>
      <w:r>
        <w:rPr>
          <w:rFonts w:ascii="黑体" w:eastAsia="黑体" w:hAnsi="黑体" w:hint="eastAsia"/>
          <w:sz w:val="44"/>
          <w:szCs w:val="44"/>
        </w:rPr>
        <w:t>滨江区社区配套用房建设使用管理办法</w:t>
      </w:r>
    </w:p>
    <w:p w:rsidR="00B406BD" w:rsidRDefault="001C09C4">
      <w:pPr>
        <w:adjustRightInd w:val="0"/>
        <w:snapToGrid w:val="0"/>
        <w:spacing w:line="360" w:lineRule="auto"/>
        <w:jc w:val="center"/>
        <w:rPr>
          <w:szCs w:val="32"/>
        </w:rPr>
      </w:pPr>
      <w:r>
        <w:rPr>
          <w:rFonts w:hint="eastAsia"/>
          <w:szCs w:val="32"/>
        </w:rPr>
        <w:t>（征求意见稿）</w:t>
      </w:r>
    </w:p>
    <w:p w:rsidR="00B406BD" w:rsidRDefault="00B406BD">
      <w:pPr>
        <w:adjustRightInd w:val="0"/>
        <w:snapToGrid w:val="0"/>
        <w:spacing w:line="360" w:lineRule="auto"/>
        <w:jc w:val="center"/>
        <w:rPr>
          <w:szCs w:val="32"/>
        </w:rPr>
      </w:pPr>
    </w:p>
    <w:p w:rsidR="00B406BD" w:rsidRDefault="001C09C4">
      <w:pPr>
        <w:adjustRightInd w:val="0"/>
        <w:snapToGrid w:val="0"/>
        <w:spacing w:line="560" w:lineRule="exact"/>
        <w:ind w:firstLine="630"/>
        <w:rPr>
          <w:szCs w:val="32"/>
        </w:rPr>
      </w:pPr>
      <w:r>
        <w:rPr>
          <w:rFonts w:hint="eastAsia"/>
          <w:szCs w:val="32"/>
        </w:rPr>
        <w:t>为规范滨江区社区配套用房的规划建设、功能设置、移交接收和监督管理，根据</w:t>
      </w:r>
      <w:r>
        <w:rPr>
          <w:rFonts w:ascii="仿宋_GB2312" w:hAnsi="微软雅黑" w:cs="宋体" w:hint="eastAsia"/>
          <w:kern w:val="0"/>
          <w:szCs w:val="32"/>
          <w:shd w:val="clear" w:color="auto" w:fill="FFFFFF"/>
        </w:rPr>
        <w:t>市委市政府《关于加强新时代城乡社区治理工作的实施意见》（市委〔</w:t>
      </w:r>
      <w:r>
        <w:rPr>
          <w:rFonts w:ascii="仿宋_GB2312" w:hAnsi="微软雅黑" w:cs="宋体" w:hint="eastAsia"/>
          <w:kern w:val="0"/>
          <w:szCs w:val="32"/>
          <w:shd w:val="clear" w:color="auto" w:fill="FFFFFF"/>
        </w:rPr>
        <w:t>2018</w:t>
      </w:r>
      <w:r>
        <w:rPr>
          <w:rFonts w:ascii="仿宋_GB2312" w:hAnsi="微软雅黑" w:cs="宋体" w:hint="eastAsia"/>
          <w:kern w:val="0"/>
          <w:szCs w:val="32"/>
          <w:shd w:val="clear" w:color="auto" w:fill="FFFFFF"/>
        </w:rPr>
        <w:t>〕</w:t>
      </w:r>
      <w:r>
        <w:rPr>
          <w:rFonts w:ascii="仿宋_GB2312" w:hAnsi="微软雅黑" w:cs="宋体" w:hint="eastAsia"/>
          <w:kern w:val="0"/>
          <w:szCs w:val="32"/>
          <w:shd w:val="clear" w:color="auto" w:fill="FFFFFF"/>
        </w:rPr>
        <w:t>30</w:t>
      </w:r>
      <w:r>
        <w:rPr>
          <w:rFonts w:ascii="仿宋_GB2312" w:hAnsi="微软雅黑" w:cs="宋体" w:hint="eastAsia"/>
          <w:kern w:val="0"/>
          <w:szCs w:val="32"/>
          <w:shd w:val="clear" w:color="auto" w:fill="FFFFFF"/>
        </w:rPr>
        <w:t>号）</w:t>
      </w:r>
      <w:r>
        <w:rPr>
          <w:rFonts w:hint="eastAsia"/>
          <w:szCs w:val="32"/>
        </w:rPr>
        <w:t>、</w:t>
      </w:r>
      <w:bookmarkStart w:id="0" w:name="_GoBack"/>
      <w:bookmarkEnd w:id="0"/>
      <w:r>
        <w:rPr>
          <w:szCs w:val="32"/>
        </w:rPr>
        <w:t>《杭州市国际化社区评价规范》</w:t>
      </w:r>
      <w:r>
        <w:rPr>
          <w:rFonts w:hint="eastAsia"/>
          <w:szCs w:val="32"/>
        </w:rPr>
        <w:t>（</w:t>
      </w:r>
      <w:r>
        <w:rPr>
          <w:rFonts w:hint="eastAsia"/>
          <w:szCs w:val="32"/>
        </w:rPr>
        <w:t>DB 3301/T 0219-2017</w:t>
      </w:r>
      <w:r>
        <w:rPr>
          <w:rFonts w:hint="eastAsia"/>
          <w:szCs w:val="32"/>
        </w:rPr>
        <w:t>）、《关于加强居家养老服务发展规划工作的通知》（杭老办字〔</w:t>
      </w:r>
      <w:r>
        <w:rPr>
          <w:rFonts w:hint="eastAsia"/>
          <w:szCs w:val="32"/>
        </w:rPr>
        <w:t>2018</w:t>
      </w:r>
      <w:r>
        <w:rPr>
          <w:rFonts w:hint="eastAsia"/>
          <w:szCs w:val="32"/>
        </w:rPr>
        <w:t>〕</w:t>
      </w:r>
      <w:r>
        <w:rPr>
          <w:rFonts w:hint="eastAsia"/>
          <w:szCs w:val="32"/>
        </w:rPr>
        <w:t>16</w:t>
      </w:r>
      <w:r>
        <w:rPr>
          <w:rFonts w:hint="eastAsia"/>
          <w:szCs w:val="32"/>
        </w:rPr>
        <w:t>号）</w:t>
      </w:r>
      <w:r>
        <w:rPr>
          <w:szCs w:val="32"/>
        </w:rPr>
        <w:t>精神，</w:t>
      </w:r>
      <w:r>
        <w:rPr>
          <w:rFonts w:hint="eastAsia"/>
          <w:szCs w:val="32"/>
        </w:rPr>
        <w:t>结合我区实际，</w:t>
      </w:r>
      <w:r>
        <w:rPr>
          <w:szCs w:val="32"/>
        </w:rPr>
        <w:t>制定本办法。</w:t>
      </w:r>
    </w:p>
    <w:p w:rsidR="00B406BD" w:rsidRDefault="00B406BD">
      <w:pPr>
        <w:adjustRightInd w:val="0"/>
        <w:snapToGrid w:val="0"/>
        <w:spacing w:line="560" w:lineRule="exact"/>
        <w:jc w:val="center"/>
        <w:rPr>
          <w:rFonts w:eastAsia="黑体"/>
          <w:szCs w:val="32"/>
        </w:rPr>
      </w:pPr>
    </w:p>
    <w:p w:rsidR="00B406BD" w:rsidRDefault="001C09C4">
      <w:pPr>
        <w:adjustRightInd w:val="0"/>
        <w:snapToGrid w:val="0"/>
        <w:spacing w:line="560" w:lineRule="exact"/>
        <w:jc w:val="center"/>
        <w:rPr>
          <w:rFonts w:eastAsia="黑体"/>
          <w:szCs w:val="32"/>
        </w:rPr>
      </w:pPr>
      <w:r>
        <w:rPr>
          <w:rFonts w:eastAsia="黑体" w:hint="eastAsia"/>
          <w:szCs w:val="32"/>
        </w:rPr>
        <w:t>第一章</w:t>
      </w:r>
      <w:r>
        <w:rPr>
          <w:rFonts w:eastAsia="黑体" w:hint="eastAsia"/>
          <w:szCs w:val="32"/>
        </w:rPr>
        <w:t xml:space="preserve">  </w:t>
      </w:r>
      <w:r>
        <w:rPr>
          <w:rFonts w:eastAsia="黑体" w:hint="eastAsia"/>
          <w:szCs w:val="32"/>
        </w:rPr>
        <w:t>总</w:t>
      </w:r>
      <w:r>
        <w:rPr>
          <w:rFonts w:eastAsia="黑体" w:hint="eastAsia"/>
          <w:szCs w:val="32"/>
        </w:rPr>
        <w:t xml:space="preserve">    </w:t>
      </w:r>
      <w:r>
        <w:rPr>
          <w:rFonts w:eastAsia="黑体" w:hint="eastAsia"/>
          <w:szCs w:val="32"/>
        </w:rPr>
        <w:t>则</w:t>
      </w:r>
    </w:p>
    <w:p w:rsidR="00B406BD" w:rsidRDefault="001C09C4">
      <w:pPr>
        <w:adjustRightInd w:val="0"/>
        <w:snapToGrid w:val="0"/>
        <w:spacing w:line="560" w:lineRule="exact"/>
        <w:ind w:firstLine="630"/>
        <w:rPr>
          <w:szCs w:val="32"/>
        </w:rPr>
      </w:pPr>
      <w:r>
        <w:rPr>
          <w:rFonts w:hint="eastAsia"/>
          <w:b/>
          <w:szCs w:val="32"/>
        </w:rPr>
        <w:t>第一条</w:t>
      </w:r>
      <w:r>
        <w:rPr>
          <w:rFonts w:hint="eastAsia"/>
          <w:szCs w:val="32"/>
        </w:rPr>
        <w:t xml:space="preserve">  </w:t>
      </w:r>
      <w:r>
        <w:rPr>
          <w:rFonts w:hint="eastAsia"/>
          <w:szCs w:val="32"/>
        </w:rPr>
        <w:t>本办法所指社区配套用房是社区开展工作所需的办公、服务和活动用房，以及为居民提供公益性服务的设施用房。</w:t>
      </w:r>
      <w:r>
        <w:rPr>
          <w:szCs w:val="32"/>
        </w:rPr>
        <w:t xml:space="preserve"> </w:t>
      </w:r>
    </w:p>
    <w:p w:rsidR="00B406BD" w:rsidRDefault="001C09C4">
      <w:pPr>
        <w:adjustRightInd w:val="0"/>
        <w:snapToGrid w:val="0"/>
        <w:spacing w:line="560" w:lineRule="exact"/>
        <w:ind w:firstLineChars="200" w:firstLine="643"/>
        <w:rPr>
          <w:szCs w:val="32"/>
        </w:rPr>
      </w:pPr>
      <w:r>
        <w:rPr>
          <w:rFonts w:hint="eastAsia"/>
          <w:b/>
          <w:szCs w:val="32"/>
        </w:rPr>
        <w:t>第二条</w:t>
      </w:r>
      <w:r>
        <w:rPr>
          <w:rFonts w:hint="eastAsia"/>
          <w:b/>
          <w:szCs w:val="32"/>
        </w:rPr>
        <w:t xml:space="preserve"> </w:t>
      </w:r>
      <w:r>
        <w:rPr>
          <w:rFonts w:hint="eastAsia"/>
          <w:szCs w:val="32"/>
        </w:rPr>
        <w:t xml:space="preserve"> </w:t>
      </w:r>
      <w:r>
        <w:rPr>
          <w:rFonts w:hint="eastAsia"/>
          <w:szCs w:val="32"/>
        </w:rPr>
        <w:t>社区配套用房</w:t>
      </w:r>
      <w:r>
        <w:rPr>
          <w:szCs w:val="32"/>
        </w:rPr>
        <w:t>应</w:t>
      </w:r>
      <w:r>
        <w:rPr>
          <w:rFonts w:hint="eastAsia"/>
          <w:szCs w:val="32"/>
        </w:rPr>
        <w:t>遵循“</w:t>
      </w:r>
      <w:r>
        <w:rPr>
          <w:szCs w:val="32"/>
        </w:rPr>
        <w:t>高起点规划、高标准设计、高质量建设</w:t>
      </w:r>
      <w:r>
        <w:rPr>
          <w:rFonts w:hint="eastAsia"/>
          <w:szCs w:val="32"/>
        </w:rPr>
        <w:t>”原则</w:t>
      </w:r>
      <w:r>
        <w:rPr>
          <w:szCs w:val="32"/>
        </w:rPr>
        <w:t>，</w:t>
      </w:r>
      <w:r>
        <w:rPr>
          <w:rFonts w:hint="eastAsia"/>
          <w:szCs w:val="32"/>
        </w:rPr>
        <w:t>确保</w:t>
      </w:r>
      <w:r>
        <w:rPr>
          <w:szCs w:val="32"/>
        </w:rPr>
        <w:t>布局合理、规模</w:t>
      </w:r>
      <w:r>
        <w:rPr>
          <w:rFonts w:hint="eastAsia"/>
          <w:szCs w:val="32"/>
        </w:rPr>
        <w:t>较大</w:t>
      </w:r>
      <w:r>
        <w:rPr>
          <w:szCs w:val="32"/>
        </w:rPr>
        <w:t>、标准统一、功能完</w:t>
      </w:r>
      <w:r>
        <w:rPr>
          <w:rFonts w:hint="eastAsia"/>
          <w:szCs w:val="32"/>
        </w:rPr>
        <w:t>备</w:t>
      </w:r>
      <w:r>
        <w:rPr>
          <w:szCs w:val="32"/>
        </w:rPr>
        <w:t>、产权清晰、</w:t>
      </w:r>
      <w:r>
        <w:rPr>
          <w:rFonts w:hint="eastAsia"/>
          <w:szCs w:val="32"/>
        </w:rPr>
        <w:t>空间</w:t>
      </w:r>
      <w:r>
        <w:rPr>
          <w:szCs w:val="32"/>
        </w:rPr>
        <w:t>集约</w:t>
      </w:r>
      <w:r>
        <w:rPr>
          <w:rFonts w:hint="eastAsia"/>
          <w:szCs w:val="32"/>
        </w:rPr>
        <w:t>、</w:t>
      </w:r>
      <w:r>
        <w:rPr>
          <w:szCs w:val="32"/>
        </w:rPr>
        <w:t>管理</w:t>
      </w:r>
      <w:r>
        <w:rPr>
          <w:rFonts w:hint="eastAsia"/>
          <w:szCs w:val="32"/>
        </w:rPr>
        <w:t>高效</w:t>
      </w:r>
      <w:r>
        <w:rPr>
          <w:szCs w:val="32"/>
        </w:rPr>
        <w:t>。</w:t>
      </w:r>
    </w:p>
    <w:p w:rsidR="00B406BD" w:rsidRDefault="001C09C4">
      <w:pPr>
        <w:adjustRightInd w:val="0"/>
        <w:snapToGrid w:val="0"/>
        <w:spacing w:line="560" w:lineRule="exact"/>
        <w:ind w:firstLineChars="200" w:firstLine="643"/>
        <w:rPr>
          <w:szCs w:val="32"/>
        </w:rPr>
      </w:pPr>
      <w:r>
        <w:rPr>
          <w:rFonts w:hint="eastAsia"/>
          <w:b/>
          <w:szCs w:val="32"/>
        </w:rPr>
        <w:t>第三条</w:t>
      </w:r>
      <w:r>
        <w:rPr>
          <w:rFonts w:hint="eastAsia"/>
          <w:b/>
          <w:szCs w:val="32"/>
        </w:rPr>
        <w:t xml:space="preserve"> </w:t>
      </w:r>
      <w:r>
        <w:rPr>
          <w:rFonts w:hint="eastAsia"/>
          <w:szCs w:val="32"/>
        </w:rPr>
        <w:t xml:space="preserve"> </w:t>
      </w:r>
      <w:r>
        <w:rPr>
          <w:rFonts w:hint="eastAsia"/>
          <w:szCs w:val="32"/>
        </w:rPr>
        <w:t>社区配套用房</w:t>
      </w:r>
      <w:r>
        <w:rPr>
          <w:szCs w:val="32"/>
        </w:rPr>
        <w:t>可通过新建</w:t>
      </w:r>
      <w:r>
        <w:rPr>
          <w:rFonts w:hint="eastAsia"/>
          <w:szCs w:val="32"/>
        </w:rPr>
        <w:t>、配建</w:t>
      </w:r>
      <w:r>
        <w:rPr>
          <w:szCs w:val="32"/>
        </w:rPr>
        <w:t>、改</w:t>
      </w:r>
      <w:r>
        <w:rPr>
          <w:rFonts w:hint="eastAsia"/>
          <w:szCs w:val="32"/>
        </w:rPr>
        <w:t>建、</w:t>
      </w:r>
      <w:r>
        <w:rPr>
          <w:szCs w:val="32"/>
        </w:rPr>
        <w:t>扩建、购</w:t>
      </w:r>
      <w:r>
        <w:rPr>
          <w:rFonts w:hint="eastAsia"/>
          <w:szCs w:val="32"/>
        </w:rPr>
        <w:t>置、租赁</w:t>
      </w:r>
      <w:r>
        <w:rPr>
          <w:szCs w:val="32"/>
        </w:rPr>
        <w:t>、</w:t>
      </w:r>
      <w:r>
        <w:rPr>
          <w:rFonts w:hint="eastAsia"/>
          <w:szCs w:val="32"/>
        </w:rPr>
        <w:t>产权（使用权）置换调剂、</w:t>
      </w:r>
      <w:r>
        <w:rPr>
          <w:szCs w:val="32"/>
        </w:rPr>
        <w:t>国有资产划拨</w:t>
      </w:r>
      <w:r>
        <w:rPr>
          <w:rFonts w:hint="eastAsia"/>
          <w:szCs w:val="32"/>
        </w:rPr>
        <w:t>和</w:t>
      </w:r>
      <w:r>
        <w:rPr>
          <w:szCs w:val="32"/>
        </w:rPr>
        <w:t>共驻共建等方式配置。</w:t>
      </w:r>
    </w:p>
    <w:p w:rsidR="00B406BD" w:rsidRDefault="001C09C4">
      <w:pPr>
        <w:adjustRightInd w:val="0"/>
        <w:snapToGrid w:val="0"/>
        <w:spacing w:line="560" w:lineRule="exact"/>
        <w:ind w:firstLine="630"/>
        <w:rPr>
          <w:szCs w:val="32"/>
        </w:rPr>
      </w:pPr>
      <w:r>
        <w:rPr>
          <w:rFonts w:hint="eastAsia"/>
          <w:b/>
          <w:szCs w:val="32"/>
        </w:rPr>
        <w:t>第四条</w:t>
      </w:r>
      <w:r>
        <w:rPr>
          <w:rFonts w:hint="eastAsia"/>
          <w:szCs w:val="32"/>
        </w:rPr>
        <w:t xml:space="preserve">  </w:t>
      </w:r>
      <w:r>
        <w:rPr>
          <w:rFonts w:hint="eastAsia"/>
          <w:szCs w:val="32"/>
        </w:rPr>
        <w:t>社区配套用房</w:t>
      </w:r>
      <w:r>
        <w:rPr>
          <w:szCs w:val="32"/>
        </w:rPr>
        <w:t>按照每百户</w:t>
      </w:r>
      <w:r>
        <w:rPr>
          <w:rFonts w:hint="eastAsia"/>
          <w:szCs w:val="32"/>
        </w:rPr>
        <w:t>不低于</w:t>
      </w:r>
      <w:r>
        <w:rPr>
          <w:rFonts w:hint="eastAsia"/>
          <w:szCs w:val="32"/>
        </w:rPr>
        <w:t>120</w:t>
      </w:r>
      <w:r>
        <w:rPr>
          <w:rFonts w:hint="eastAsia"/>
          <w:szCs w:val="32"/>
        </w:rPr>
        <w:t>平方米</w:t>
      </w:r>
      <w:r>
        <w:rPr>
          <w:szCs w:val="32"/>
        </w:rPr>
        <w:t>的标准配置</w:t>
      </w:r>
      <w:r>
        <w:rPr>
          <w:rFonts w:hint="eastAsia"/>
          <w:szCs w:val="32"/>
        </w:rPr>
        <w:t>。</w:t>
      </w:r>
      <w:r>
        <w:rPr>
          <w:szCs w:val="32"/>
        </w:rPr>
        <w:t>其中</w:t>
      </w:r>
      <w:r>
        <w:rPr>
          <w:rFonts w:hint="eastAsia"/>
          <w:szCs w:val="32"/>
        </w:rPr>
        <w:t>，</w:t>
      </w:r>
      <w:r>
        <w:rPr>
          <w:szCs w:val="32"/>
        </w:rPr>
        <w:t>社区办公、服务和活动用房为每百户不低于</w:t>
      </w:r>
      <w:r>
        <w:rPr>
          <w:rFonts w:hint="eastAsia"/>
          <w:szCs w:val="32"/>
        </w:rPr>
        <w:t>70</w:t>
      </w:r>
      <w:r>
        <w:rPr>
          <w:rFonts w:hint="eastAsia"/>
          <w:szCs w:val="32"/>
        </w:rPr>
        <w:t>平方米，</w:t>
      </w:r>
      <w:r>
        <w:rPr>
          <w:szCs w:val="32"/>
        </w:rPr>
        <w:t>居家养老服务用</w:t>
      </w:r>
      <w:r>
        <w:rPr>
          <w:szCs w:val="32"/>
        </w:rPr>
        <w:t>房为每百户不低于</w:t>
      </w:r>
      <w:r>
        <w:rPr>
          <w:rFonts w:hint="eastAsia"/>
          <w:szCs w:val="32"/>
        </w:rPr>
        <w:t>5</w:t>
      </w:r>
      <w:r>
        <w:rPr>
          <w:szCs w:val="32"/>
        </w:rPr>
        <w:t>0</w:t>
      </w:r>
      <w:r>
        <w:rPr>
          <w:rFonts w:hint="eastAsia"/>
          <w:szCs w:val="32"/>
        </w:rPr>
        <w:t>平方米。</w:t>
      </w:r>
    </w:p>
    <w:p w:rsidR="00B406BD" w:rsidRDefault="001C09C4">
      <w:pPr>
        <w:adjustRightInd w:val="0"/>
        <w:snapToGrid w:val="0"/>
        <w:spacing w:line="560" w:lineRule="exact"/>
        <w:ind w:firstLine="630"/>
        <w:rPr>
          <w:szCs w:val="32"/>
        </w:rPr>
      </w:pPr>
      <w:r>
        <w:rPr>
          <w:rFonts w:hint="eastAsia"/>
          <w:b/>
          <w:szCs w:val="32"/>
        </w:rPr>
        <w:t>第五条</w:t>
      </w:r>
      <w:r>
        <w:rPr>
          <w:rFonts w:hint="eastAsia"/>
          <w:szCs w:val="32"/>
        </w:rPr>
        <w:t xml:space="preserve">  </w:t>
      </w:r>
      <w:r>
        <w:rPr>
          <w:rFonts w:hint="eastAsia"/>
          <w:szCs w:val="32"/>
        </w:rPr>
        <w:t>房屋设备用房、地下及半地下室、门卫用房、技术</w:t>
      </w:r>
      <w:r>
        <w:rPr>
          <w:rFonts w:hint="eastAsia"/>
          <w:szCs w:val="32"/>
        </w:rPr>
        <w:lastRenderedPageBreak/>
        <w:t>层、设备层、架空层、夹层、公共卫生间等，以及不符合办理产权要求、净层高不足</w:t>
      </w:r>
      <w:r>
        <w:rPr>
          <w:rFonts w:hint="eastAsia"/>
          <w:szCs w:val="32"/>
        </w:rPr>
        <w:t>3</w:t>
      </w:r>
      <w:r>
        <w:rPr>
          <w:rFonts w:hint="eastAsia"/>
          <w:szCs w:val="32"/>
        </w:rPr>
        <w:t>米的房屋，均不得计入社区配套用房面积。</w:t>
      </w:r>
    </w:p>
    <w:p w:rsidR="00B406BD" w:rsidRDefault="00B406BD">
      <w:pPr>
        <w:adjustRightInd w:val="0"/>
        <w:snapToGrid w:val="0"/>
        <w:spacing w:line="560" w:lineRule="exact"/>
        <w:jc w:val="center"/>
        <w:rPr>
          <w:rFonts w:eastAsia="黑体"/>
          <w:szCs w:val="32"/>
        </w:rPr>
      </w:pPr>
    </w:p>
    <w:p w:rsidR="00B406BD" w:rsidRDefault="001C09C4">
      <w:pPr>
        <w:adjustRightInd w:val="0"/>
        <w:snapToGrid w:val="0"/>
        <w:spacing w:line="560" w:lineRule="exact"/>
        <w:jc w:val="center"/>
        <w:rPr>
          <w:rFonts w:eastAsia="黑体"/>
          <w:szCs w:val="32"/>
        </w:rPr>
      </w:pPr>
      <w:r>
        <w:rPr>
          <w:rFonts w:eastAsia="黑体"/>
          <w:szCs w:val="32"/>
        </w:rPr>
        <w:t>第</w:t>
      </w:r>
      <w:r>
        <w:rPr>
          <w:rFonts w:eastAsia="黑体" w:hint="eastAsia"/>
          <w:szCs w:val="32"/>
        </w:rPr>
        <w:t>二</w:t>
      </w:r>
      <w:r>
        <w:rPr>
          <w:rFonts w:eastAsia="黑体"/>
          <w:szCs w:val="32"/>
        </w:rPr>
        <w:t xml:space="preserve">章　</w:t>
      </w:r>
      <w:r>
        <w:rPr>
          <w:rFonts w:eastAsia="黑体" w:hint="eastAsia"/>
          <w:szCs w:val="32"/>
        </w:rPr>
        <w:t>社区配套用房功能</w:t>
      </w:r>
    </w:p>
    <w:p w:rsidR="00B406BD" w:rsidRDefault="001C09C4">
      <w:pPr>
        <w:adjustRightInd w:val="0"/>
        <w:snapToGrid w:val="0"/>
        <w:spacing w:line="560" w:lineRule="exact"/>
        <w:ind w:firstLineChars="200" w:firstLine="643"/>
        <w:jc w:val="left"/>
        <w:rPr>
          <w:rFonts w:ascii="仿宋_GB2312" w:hAnsi="微软雅黑" w:cs="宋体"/>
          <w:kern w:val="0"/>
          <w:szCs w:val="32"/>
          <w:shd w:val="clear" w:color="auto" w:fill="FFFFFF"/>
        </w:rPr>
      </w:pPr>
      <w:r>
        <w:rPr>
          <w:rFonts w:hint="eastAsia"/>
          <w:b/>
          <w:szCs w:val="32"/>
        </w:rPr>
        <w:t>第六条</w:t>
      </w:r>
      <w:r>
        <w:rPr>
          <w:rFonts w:hint="eastAsia"/>
          <w:szCs w:val="32"/>
        </w:rPr>
        <w:t xml:space="preserve">  </w:t>
      </w:r>
      <w:r>
        <w:rPr>
          <w:rFonts w:hint="eastAsia"/>
          <w:szCs w:val="32"/>
        </w:rPr>
        <w:t>社区配套用房以</w:t>
      </w:r>
      <w:r>
        <w:rPr>
          <w:rFonts w:ascii="仿宋_GB2312" w:hAnsi="微软雅黑" w:cs="宋体" w:hint="eastAsia"/>
          <w:kern w:val="0"/>
          <w:szCs w:val="32"/>
          <w:shd w:val="clear" w:color="auto" w:fill="FFFFFF"/>
        </w:rPr>
        <w:t>“</w:t>
      </w:r>
      <w:r>
        <w:rPr>
          <w:rFonts w:ascii="仿宋_GB2312" w:hAnsi="微软雅黑" w:cs="宋体" w:hint="eastAsia"/>
          <w:kern w:val="0"/>
          <w:szCs w:val="32"/>
          <w:shd w:val="clear" w:color="auto" w:fill="FFFFFF"/>
        </w:rPr>
        <w:t>4+N</w:t>
      </w:r>
      <w:r>
        <w:rPr>
          <w:rFonts w:ascii="仿宋_GB2312" w:hAnsi="微软雅黑" w:cs="宋体" w:hint="eastAsia"/>
          <w:kern w:val="0"/>
          <w:szCs w:val="32"/>
          <w:shd w:val="clear" w:color="auto" w:fill="FFFFFF"/>
        </w:rPr>
        <w:t>”模板进行</w:t>
      </w:r>
      <w:r>
        <w:rPr>
          <w:rFonts w:hint="eastAsia"/>
          <w:szCs w:val="32"/>
        </w:rPr>
        <w:t>功能区设置</w:t>
      </w:r>
      <w:r>
        <w:rPr>
          <w:rFonts w:ascii="仿宋_GB2312" w:hAnsi="微软雅黑" w:cs="宋体" w:hint="eastAsia"/>
          <w:kern w:val="0"/>
          <w:szCs w:val="32"/>
          <w:shd w:val="clear" w:color="auto" w:fill="FFFFFF"/>
        </w:rPr>
        <w:t>，“</w:t>
      </w:r>
      <w:r>
        <w:rPr>
          <w:rFonts w:ascii="仿宋_GB2312" w:hAnsi="微软雅黑" w:cs="宋体" w:hint="eastAsia"/>
          <w:kern w:val="0"/>
          <w:szCs w:val="32"/>
          <w:shd w:val="clear" w:color="auto" w:fill="FFFFFF"/>
        </w:rPr>
        <w:t>4</w:t>
      </w:r>
      <w:r>
        <w:rPr>
          <w:rFonts w:ascii="仿宋_GB2312" w:hAnsi="微软雅黑" w:cs="宋体" w:hint="eastAsia"/>
          <w:kern w:val="0"/>
          <w:szCs w:val="32"/>
          <w:shd w:val="clear" w:color="auto" w:fill="FFFFFF"/>
        </w:rPr>
        <w:t>”为“党群服务”“居民会客”“居民议事”“社创空间”四个功能区，“</w:t>
      </w:r>
      <w:r>
        <w:rPr>
          <w:rFonts w:ascii="仿宋_GB2312" w:hAnsi="微软雅黑" w:cs="宋体" w:hint="eastAsia"/>
          <w:kern w:val="0"/>
          <w:szCs w:val="32"/>
          <w:shd w:val="clear" w:color="auto" w:fill="FFFFFF"/>
        </w:rPr>
        <w:t>N</w:t>
      </w:r>
      <w:r>
        <w:rPr>
          <w:rFonts w:ascii="仿宋_GB2312" w:hAnsi="微软雅黑" w:cs="宋体" w:hint="eastAsia"/>
          <w:kern w:val="0"/>
          <w:szCs w:val="32"/>
          <w:shd w:val="clear" w:color="auto" w:fill="FFFFFF"/>
        </w:rPr>
        <w:t>”为各社区结合居民需求设置的功能区。</w:t>
      </w:r>
    </w:p>
    <w:p w:rsidR="00B406BD" w:rsidRDefault="001C09C4">
      <w:pPr>
        <w:adjustRightInd w:val="0"/>
        <w:snapToGrid w:val="0"/>
        <w:spacing w:line="560" w:lineRule="exact"/>
        <w:ind w:firstLineChars="200" w:firstLine="640"/>
        <w:jc w:val="left"/>
        <w:rPr>
          <w:rFonts w:ascii="仿宋_GB2312" w:hAnsi="微软雅黑" w:cs="宋体"/>
          <w:kern w:val="0"/>
          <w:szCs w:val="32"/>
          <w:shd w:val="clear" w:color="auto" w:fill="FFFFFF"/>
        </w:rPr>
      </w:pPr>
      <w:r>
        <w:rPr>
          <w:rFonts w:ascii="仿宋_GB2312" w:hAnsi="微软雅黑" w:cs="宋体" w:hint="eastAsia"/>
          <w:kern w:val="0"/>
          <w:szCs w:val="32"/>
          <w:shd w:val="clear" w:color="auto" w:fill="FFFFFF"/>
        </w:rPr>
        <w:t>（一）“党群服务”功能区。涵盖社区公共服务事项，实行“一滨办”综合服务岗模式，统一受理居民的各类事务，现场及时处理居民问题与需求，实现“全科受理，全能服务”。</w:t>
      </w:r>
    </w:p>
    <w:p w:rsidR="00B406BD" w:rsidRDefault="001C09C4">
      <w:pPr>
        <w:adjustRightInd w:val="0"/>
        <w:snapToGrid w:val="0"/>
        <w:spacing w:line="560" w:lineRule="exact"/>
        <w:ind w:firstLineChars="200" w:firstLine="640"/>
        <w:jc w:val="left"/>
        <w:rPr>
          <w:rFonts w:ascii="仿宋_GB2312" w:hAnsi="微软雅黑" w:cs="宋体"/>
          <w:kern w:val="0"/>
          <w:szCs w:val="32"/>
          <w:shd w:val="clear" w:color="auto" w:fill="FFFFFF"/>
        </w:rPr>
      </w:pPr>
      <w:r>
        <w:rPr>
          <w:rFonts w:ascii="仿宋_GB2312" w:hAnsi="微软雅黑" w:cs="宋体" w:hint="eastAsia"/>
          <w:kern w:val="0"/>
          <w:szCs w:val="32"/>
          <w:shd w:val="clear" w:color="auto" w:fill="FFFFFF"/>
        </w:rPr>
        <w:t>（二）“居民会客”功能区。以居民社交需求为重心，将传统的社区空间去行政化，使之成为居民日常聚会、交流、共享的活动场所，浓厚家庭结伴、邻里结情、社区结缘的地域情怀。</w:t>
      </w:r>
    </w:p>
    <w:p w:rsidR="00B406BD" w:rsidRDefault="001C09C4">
      <w:pPr>
        <w:adjustRightInd w:val="0"/>
        <w:snapToGrid w:val="0"/>
        <w:spacing w:line="560" w:lineRule="exact"/>
        <w:ind w:firstLineChars="200" w:firstLine="640"/>
        <w:jc w:val="left"/>
        <w:rPr>
          <w:rFonts w:ascii="仿宋_GB2312" w:hAnsi="微软雅黑" w:cs="宋体"/>
          <w:kern w:val="0"/>
          <w:szCs w:val="32"/>
          <w:shd w:val="clear" w:color="auto" w:fill="FFFFFF"/>
        </w:rPr>
      </w:pPr>
      <w:r>
        <w:rPr>
          <w:rFonts w:ascii="仿宋_GB2312" w:hAnsi="微软雅黑" w:cs="宋体" w:hint="eastAsia"/>
          <w:kern w:val="0"/>
          <w:szCs w:val="32"/>
          <w:shd w:val="clear" w:color="auto" w:fill="FFFFFF"/>
        </w:rPr>
        <w:t>（三）“居民议事”功能区。聚焦居民身边事，引导业委会、物业、驻区单位、社会组织和居民等多方参与社区协商，通过“两代表一委员”接待、约请职能部门等方式，定期听取居民诉求，畅通民意表达渠道，提</w:t>
      </w:r>
      <w:r>
        <w:rPr>
          <w:rFonts w:ascii="仿宋_GB2312" w:hAnsi="微软雅黑" w:cs="宋体" w:hint="eastAsia"/>
          <w:kern w:val="0"/>
          <w:szCs w:val="32"/>
          <w:shd w:val="clear" w:color="auto" w:fill="FFFFFF"/>
        </w:rPr>
        <w:t>升居民满意度。</w:t>
      </w:r>
    </w:p>
    <w:p w:rsidR="00B406BD" w:rsidRDefault="001C09C4">
      <w:pPr>
        <w:adjustRightInd w:val="0"/>
        <w:snapToGrid w:val="0"/>
        <w:spacing w:line="560" w:lineRule="exact"/>
        <w:ind w:firstLineChars="200" w:firstLine="640"/>
        <w:jc w:val="left"/>
        <w:rPr>
          <w:szCs w:val="32"/>
        </w:rPr>
      </w:pPr>
      <w:r>
        <w:rPr>
          <w:rFonts w:ascii="仿宋_GB2312" w:hAnsi="微软雅黑" w:cs="宋体" w:hint="eastAsia"/>
          <w:kern w:val="0"/>
          <w:szCs w:val="32"/>
          <w:shd w:val="clear" w:color="auto" w:fill="FFFFFF"/>
        </w:rPr>
        <w:t>（四）“社创空间”功能区</w:t>
      </w:r>
      <w:r>
        <w:rPr>
          <w:rFonts w:hint="eastAsia"/>
          <w:szCs w:val="32"/>
        </w:rPr>
        <w:t>（社会力量创新空间）。整合各类社区服务资源，依托社会组织、社会企业、社会工作室、名人工作室、志愿者等社会群体，着眼“理念—机制—方法”创新，提供为老、托育、家政、健康、文化、体育、教育、法律、心理、志愿等社会化服务，提升社区服务的社会化水平。</w:t>
      </w:r>
    </w:p>
    <w:p w:rsidR="00B406BD" w:rsidRDefault="001C09C4">
      <w:pPr>
        <w:adjustRightInd w:val="0"/>
        <w:snapToGrid w:val="0"/>
        <w:spacing w:line="560" w:lineRule="exact"/>
        <w:ind w:firstLineChars="200" w:firstLine="643"/>
        <w:rPr>
          <w:szCs w:val="32"/>
        </w:rPr>
      </w:pPr>
      <w:r>
        <w:rPr>
          <w:rFonts w:hint="eastAsia"/>
          <w:b/>
          <w:bCs/>
          <w:szCs w:val="32"/>
        </w:rPr>
        <w:t>第七条</w:t>
      </w:r>
      <w:r>
        <w:rPr>
          <w:rFonts w:hint="eastAsia"/>
          <w:szCs w:val="32"/>
        </w:rPr>
        <w:t xml:space="preserve">  </w:t>
      </w:r>
      <w:r>
        <w:rPr>
          <w:rFonts w:hint="eastAsia"/>
          <w:szCs w:val="32"/>
        </w:rPr>
        <w:t>社区配套用房</w:t>
      </w:r>
      <w:r>
        <w:rPr>
          <w:szCs w:val="32"/>
        </w:rPr>
        <w:t>按照</w:t>
      </w:r>
      <w:r>
        <w:rPr>
          <w:rFonts w:hint="eastAsia"/>
          <w:szCs w:val="32"/>
        </w:rPr>
        <w:t>“</w:t>
      </w:r>
      <w:r>
        <w:rPr>
          <w:szCs w:val="32"/>
        </w:rPr>
        <w:t>社工办公用房最小化、服务活动用房最大化、综合使用效益最优化</w:t>
      </w:r>
      <w:r>
        <w:rPr>
          <w:rFonts w:hint="eastAsia"/>
          <w:szCs w:val="32"/>
        </w:rPr>
        <w:t>”</w:t>
      </w:r>
      <w:r>
        <w:rPr>
          <w:szCs w:val="32"/>
        </w:rPr>
        <w:t>的要求，除保留社区主要</w:t>
      </w:r>
      <w:r>
        <w:rPr>
          <w:szCs w:val="32"/>
        </w:rPr>
        <w:lastRenderedPageBreak/>
        <w:t>负责人办公</w:t>
      </w:r>
      <w:r>
        <w:rPr>
          <w:rFonts w:hint="eastAsia"/>
          <w:szCs w:val="32"/>
        </w:rPr>
        <w:t>及</w:t>
      </w:r>
      <w:r>
        <w:rPr>
          <w:szCs w:val="32"/>
        </w:rPr>
        <w:t>其他</w:t>
      </w:r>
      <w:r>
        <w:rPr>
          <w:rFonts w:hint="eastAsia"/>
          <w:szCs w:val="32"/>
        </w:rPr>
        <w:t>社区工作</w:t>
      </w:r>
      <w:r>
        <w:rPr>
          <w:szCs w:val="32"/>
        </w:rPr>
        <w:t>人员</w:t>
      </w:r>
      <w:r>
        <w:rPr>
          <w:rFonts w:hint="eastAsia"/>
          <w:szCs w:val="32"/>
        </w:rPr>
        <w:t>集中办公区域外，其余均</w:t>
      </w:r>
      <w:r>
        <w:rPr>
          <w:szCs w:val="32"/>
        </w:rPr>
        <w:t>用于社区居民办事、活动，确保</w:t>
      </w:r>
      <w:r>
        <w:rPr>
          <w:rFonts w:hint="eastAsia"/>
          <w:szCs w:val="32"/>
        </w:rPr>
        <w:t>社区配套用房</w:t>
      </w:r>
      <w:r>
        <w:rPr>
          <w:szCs w:val="32"/>
        </w:rPr>
        <w:t>的利用率。</w:t>
      </w:r>
    </w:p>
    <w:p w:rsidR="00B406BD" w:rsidRDefault="001C09C4">
      <w:pPr>
        <w:pStyle w:val="a7"/>
        <w:spacing w:before="0" w:beforeAutospacing="0" w:after="0" w:afterAutospacing="0" w:line="450" w:lineRule="atLeast"/>
        <w:ind w:firstLineChars="200" w:firstLine="640"/>
        <w:jc w:val="both"/>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社区主要负责人办公室面积参照《国家发展改革委</w:t>
      </w:r>
      <w:r>
        <w:rPr>
          <w:rFonts w:ascii="Times New Roman" w:eastAsia="仿宋_GB2312" w:hAnsi="Times New Roman" w:cs="Times New Roman" w:hint="eastAsia"/>
          <w:kern w:val="2"/>
          <w:sz w:val="32"/>
          <w:szCs w:val="32"/>
        </w:rPr>
        <w:t xml:space="preserve"> </w:t>
      </w:r>
      <w:r>
        <w:rPr>
          <w:rFonts w:ascii="Times New Roman" w:eastAsia="仿宋_GB2312" w:hAnsi="Times New Roman" w:cs="Times New Roman" w:hint="eastAsia"/>
          <w:kern w:val="2"/>
          <w:sz w:val="32"/>
          <w:szCs w:val="32"/>
        </w:rPr>
        <w:t>住房城乡建设部关于印发党政机关办公用房建设标准的通知》</w:t>
      </w:r>
      <w:r>
        <w:rPr>
          <w:rFonts w:ascii="Times New Roman" w:eastAsia="仿宋_GB2312" w:hAnsi="Times New Roman" w:cs="Times New Roman" w:hint="eastAsia"/>
          <w:kern w:val="2"/>
          <w:sz w:val="32"/>
          <w:szCs w:val="32"/>
        </w:rPr>
        <w:t>(</w:t>
      </w:r>
      <w:r>
        <w:rPr>
          <w:rFonts w:ascii="Times New Roman" w:eastAsia="仿宋_GB2312" w:hAnsi="Times New Roman" w:cs="Times New Roman" w:hint="eastAsia"/>
          <w:kern w:val="2"/>
          <w:sz w:val="32"/>
          <w:szCs w:val="32"/>
        </w:rPr>
        <w:t>发改投资〔</w:t>
      </w:r>
      <w:r>
        <w:rPr>
          <w:rFonts w:ascii="Times New Roman" w:eastAsia="仿宋_GB2312" w:hAnsi="Times New Roman" w:cs="Times New Roman" w:hint="eastAsia"/>
          <w:kern w:val="2"/>
          <w:sz w:val="32"/>
          <w:szCs w:val="32"/>
        </w:rPr>
        <w:t>2014</w:t>
      </w:r>
      <w:r>
        <w:rPr>
          <w:rFonts w:ascii="Times New Roman" w:eastAsia="仿宋_GB2312" w:hAnsi="Times New Roman" w:cs="Times New Roman" w:hint="eastAsia"/>
          <w:kern w:val="2"/>
          <w:sz w:val="32"/>
          <w:szCs w:val="32"/>
        </w:rPr>
        <w:t>〕</w:t>
      </w:r>
      <w:r>
        <w:rPr>
          <w:rFonts w:ascii="Times New Roman" w:eastAsia="仿宋_GB2312" w:hAnsi="Times New Roman" w:cs="Times New Roman" w:hint="eastAsia"/>
          <w:kern w:val="2"/>
          <w:sz w:val="32"/>
          <w:szCs w:val="32"/>
        </w:rPr>
        <w:t>2674</w:t>
      </w:r>
      <w:r>
        <w:rPr>
          <w:rFonts w:ascii="Times New Roman" w:eastAsia="仿宋_GB2312" w:hAnsi="Times New Roman" w:cs="Times New Roman" w:hint="eastAsia"/>
          <w:kern w:val="2"/>
          <w:sz w:val="32"/>
          <w:szCs w:val="32"/>
        </w:rPr>
        <w:t>号</w:t>
      </w:r>
      <w:r>
        <w:rPr>
          <w:rFonts w:ascii="Times New Roman" w:eastAsia="仿宋_GB2312" w:hAnsi="Times New Roman" w:cs="Times New Roman" w:hint="eastAsia"/>
          <w:kern w:val="2"/>
          <w:sz w:val="32"/>
          <w:szCs w:val="32"/>
        </w:rPr>
        <w:t>)</w:t>
      </w:r>
      <w:r>
        <w:rPr>
          <w:rFonts w:ascii="Times New Roman" w:eastAsia="仿宋_GB2312" w:hAnsi="Times New Roman" w:cs="Times New Roman" w:hint="eastAsia"/>
          <w:kern w:val="2"/>
          <w:sz w:val="32"/>
          <w:szCs w:val="32"/>
        </w:rPr>
        <w:t>县级机关科级以下标准。</w:t>
      </w:r>
    </w:p>
    <w:p w:rsidR="00B406BD" w:rsidRDefault="001C09C4">
      <w:pPr>
        <w:adjustRightInd w:val="0"/>
        <w:snapToGrid w:val="0"/>
        <w:spacing w:line="560" w:lineRule="exact"/>
        <w:jc w:val="center"/>
        <w:rPr>
          <w:rFonts w:eastAsia="黑体"/>
          <w:szCs w:val="32"/>
        </w:rPr>
      </w:pPr>
      <w:r>
        <w:rPr>
          <w:rFonts w:eastAsia="黑体"/>
          <w:szCs w:val="32"/>
        </w:rPr>
        <w:t>第</w:t>
      </w:r>
      <w:r>
        <w:rPr>
          <w:rFonts w:eastAsia="黑体" w:hint="eastAsia"/>
          <w:szCs w:val="32"/>
        </w:rPr>
        <w:t>三</w:t>
      </w:r>
      <w:r>
        <w:rPr>
          <w:rFonts w:eastAsia="黑体"/>
          <w:szCs w:val="32"/>
        </w:rPr>
        <w:t xml:space="preserve">章　</w:t>
      </w:r>
      <w:r>
        <w:rPr>
          <w:rFonts w:eastAsia="黑体" w:hint="eastAsia"/>
          <w:szCs w:val="32"/>
        </w:rPr>
        <w:t>社区配套用房规划审核</w:t>
      </w:r>
    </w:p>
    <w:p w:rsidR="00B406BD" w:rsidRDefault="001C09C4">
      <w:pPr>
        <w:adjustRightInd w:val="0"/>
        <w:snapToGrid w:val="0"/>
        <w:spacing w:line="560" w:lineRule="exact"/>
        <w:ind w:firstLine="645"/>
        <w:rPr>
          <w:szCs w:val="32"/>
        </w:rPr>
      </w:pPr>
      <w:r>
        <w:rPr>
          <w:rFonts w:hint="eastAsia"/>
          <w:b/>
          <w:szCs w:val="32"/>
        </w:rPr>
        <w:t>第八条</w:t>
      </w:r>
      <w:r>
        <w:rPr>
          <w:rFonts w:hint="eastAsia"/>
          <w:szCs w:val="32"/>
        </w:rPr>
        <w:t xml:space="preserve">  </w:t>
      </w:r>
      <w:r>
        <w:rPr>
          <w:rFonts w:ascii="仿宋_GB2312" w:hint="eastAsia"/>
          <w:szCs w:val="32"/>
        </w:rPr>
        <w:t>住宅用地供地前，由区民政局和街道共同就地块应配建社区配套用房的位置、功能布局、建筑形态等提出明确要求。</w:t>
      </w:r>
      <w:r>
        <w:rPr>
          <w:rFonts w:hint="eastAsia"/>
          <w:szCs w:val="32"/>
        </w:rPr>
        <w:t>对于出让的住宅用地，区规划资源分局将社区配套用房配建要求纳入地块出让条件中；对于划拨的住宅用地，区规划资源分局将社区配套用房配建要求纳入地块的选址意见书中。</w:t>
      </w:r>
    </w:p>
    <w:p w:rsidR="00B406BD" w:rsidRDefault="001C09C4">
      <w:pPr>
        <w:adjustRightInd w:val="0"/>
        <w:snapToGrid w:val="0"/>
        <w:spacing w:line="560" w:lineRule="exact"/>
        <w:ind w:firstLine="645"/>
        <w:rPr>
          <w:szCs w:val="32"/>
        </w:rPr>
      </w:pPr>
      <w:r>
        <w:rPr>
          <w:rFonts w:hint="eastAsia"/>
          <w:b/>
          <w:szCs w:val="32"/>
        </w:rPr>
        <w:t>第九条</w:t>
      </w:r>
      <w:r>
        <w:rPr>
          <w:rFonts w:hint="eastAsia"/>
          <w:b/>
          <w:szCs w:val="32"/>
        </w:rPr>
        <w:t xml:space="preserve">  </w:t>
      </w:r>
      <w:r>
        <w:rPr>
          <w:rFonts w:hint="eastAsia"/>
          <w:szCs w:val="32"/>
        </w:rPr>
        <w:t>供地后，业主单位应要求设计单位严格按照出让条件或选址意见书的要求，落实社区配套用房的设计。在项目方案设计审查或初步设计审查时，由区住建局、规划资源分局召集区民政局及项目所在街道，对项目有关社区配套用房的位置、规模等相关设计内容及指标进行审查；区住建局、规划资源分局应督促业主单位将社区配套用房纳入住宅小区建设项目计划，明确由业主单位建设并移交所属街道。</w:t>
      </w:r>
      <w:r>
        <w:rPr>
          <w:rFonts w:ascii="微软雅黑" w:eastAsia="微软雅黑" w:hAnsi="微软雅黑" w:hint="eastAsia"/>
          <w:szCs w:val="21"/>
        </w:rPr>
        <w:br/>
      </w:r>
      <w:r>
        <w:rPr>
          <w:rFonts w:hint="eastAsia"/>
          <w:b/>
          <w:szCs w:val="32"/>
        </w:rPr>
        <w:t xml:space="preserve">    </w:t>
      </w:r>
      <w:r>
        <w:rPr>
          <w:rFonts w:hint="eastAsia"/>
          <w:b/>
          <w:szCs w:val="32"/>
        </w:rPr>
        <w:t>第十条</w:t>
      </w:r>
      <w:r>
        <w:rPr>
          <w:rFonts w:hint="eastAsia"/>
          <w:szCs w:val="32"/>
        </w:rPr>
        <w:t xml:space="preserve">  </w:t>
      </w:r>
      <w:r>
        <w:rPr>
          <w:rFonts w:hint="eastAsia"/>
          <w:szCs w:val="32"/>
        </w:rPr>
        <w:t>对于确需分期建设的住宅项目，社区配套用房须集中配建并先行建设，按照“先开发、先配套、先使用”原则，保障先期入住业主的使用，但</w:t>
      </w:r>
      <w:r>
        <w:rPr>
          <w:rFonts w:ascii="仿宋_GB2312" w:hint="eastAsia"/>
          <w:szCs w:val="32"/>
        </w:rPr>
        <w:t>另有法律规定或具</w:t>
      </w:r>
      <w:r>
        <w:rPr>
          <w:rFonts w:ascii="仿宋_GB2312" w:hint="eastAsia"/>
          <w:szCs w:val="32"/>
        </w:rPr>
        <w:t>体合同约定的除外</w:t>
      </w:r>
      <w:r>
        <w:rPr>
          <w:rFonts w:hint="eastAsia"/>
          <w:szCs w:val="32"/>
        </w:rPr>
        <w:t>。</w:t>
      </w:r>
    </w:p>
    <w:p w:rsidR="00B406BD" w:rsidRDefault="001C09C4">
      <w:pPr>
        <w:adjustRightInd w:val="0"/>
        <w:snapToGrid w:val="0"/>
        <w:spacing w:line="560" w:lineRule="exact"/>
        <w:ind w:firstLine="645"/>
        <w:rPr>
          <w:szCs w:val="32"/>
        </w:rPr>
      </w:pPr>
      <w:r>
        <w:rPr>
          <w:rFonts w:hint="eastAsia"/>
          <w:b/>
          <w:szCs w:val="32"/>
        </w:rPr>
        <w:t>第十一条</w:t>
      </w:r>
      <w:r>
        <w:rPr>
          <w:rFonts w:hint="eastAsia"/>
          <w:b/>
          <w:szCs w:val="32"/>
        </w:rPr>
        <w:t xml:space="preserve">  </w:t>
      </w:r>
      <w:r>
        <w:rPr>
          <w:rFonts w:hint="eastAsia"/>
          <w:szCs w:val="32"/>
        </w:rPr>
        <w:t>已审定方案的建设项目，原则上不允许调整社区配套用房的位置、面积、结构和使用功能等。因特殊原因确需调</w:t>
      </w:r>
      <w:r>
        <w:rPr>
          <w:rFonts w:hint="eastAsia"/>
          <w:szCs w:val="32"/>
        </w:rPr>
        <w:lastRenderedPageBreak/>
        <w:t>整的，应由建设单位提出书面申请，写明调整原因及调整计划，经区民政局和所在街道书面同意，并在调整后的建设方案图纸上加盖公章确认，方可进行调整。</w:t>
      </w:r>
    </w:p>
    <w:p w:rsidR="00B406BD" w:rsidRDefault="00B406BD">
      <w:pPr>
        <w:adjustRightInd w:val="0"/>
        <w:snapToGrid w:val="0"/>
        <w:spacing w:line="560" w:lineRule="exact"/>
        <w:ind w:firstLine="645"/>
        <w:rPr>
          <w:szCs w:val="32"/>
        </w:rPr>
      </w:pPr>
    </w:p>
    <w:p w:rsidR="00B406BD" w:rsidRDefault="001C09C4">
      <w:pPr>
        <w:adjustRightInd w:val="0"/>
        <w:snapToGrid w:val="0"/>
        <w:spacing w:line="560" w:lineRule="exact"/>
        <w:jc w:val="center"/>
        <w:rPr>
          <w:rFonts w:ascii="楷体" w:eastAsia="楷体" w:hAnsi="楷体"/>
          <w:szCs w:val="32"/>
        </w:rPr>
      </w:pPr>
      <w:r>
        <w:rPr>
          <w:rFonts w:eastAsia="黑体"/>
          <w:szCs w:val="32"/>
        </w:rPr>
        <w:t>第</w:t>
      </w:r>
      <w:r>
        <w:rPr>
          <w:rFonts w:eastAsia="黑体" w:hint="eastAsia"/>
          <w:szCs w:val="32"/>
        </w:rPr>
        <w:t>四</w:t>
      </w:r>
      <w:r>
        <w:rPr>
          <w:rFonts w:eastAsia="黑体"/>
          <w:szCs w:val="32"/>
        </w:rPr>
        <w:t>章</w:t>
      </w:r>
      <w:r>
        <w:rPr>
          <w:rFonts w:eastAsia="黑体" w:hint="eastAsia"/>
          <w:szCs w:val="32"/>
        </w:rPr>
        <w:t xml:space="preserve">  </w:t>
      </w:r>
      <w:r>
        <w:rPr>
          <w:rFonts w:eastAsia="黑体" w:hint="eastAsia"/>
          <w:szCs w:val="32"/>
        </w:rPr>
        <w:t>社区配套用房建设</w:t>
      </w:r>
    </w:p>
    <w:p w:rsidR="00B406BD" w:rsidRDefault="001C09C4">
      <w:pPr>
        <w:adjustRightInd w:val="0"/>
        <w:snapToGrid w:val="0"/>
        <w:spacing w:line="560" w:lineRule="exact"/>
        <w:ind w:firstLine="630"/>
        <w:rPr>
          <w:szCs w:val="32"/>
        </w:rPr>
      </w:pPr>
      <w:r>
        <w:rPr>
          <w:rFonts w:hint="eastAsia"/>
          <w:b/>
          <w:szCs w:val="32"/>
        </w:rPr>
        <w:t>第十二条</w:t>
      </w:r>
      <w:r>
        <w:rPr>
          <w:rFonts w:hint="eastAsia"/>
          <w:szCs w:val="32"/>
        </w:rPr>
        <w:t xml:space="preserve">  </w:t>
      </w:r>
      <w:r>
        <w:rPr>
          <w:rFonts w:hint="eastAsia"/>
          <w:szCs w:val="32"/>
        </w:rPr>
        <w:t>以</w:t>
      </w:r>
      <w:r>
        <w:rPr>
          <w:szCs w:val="32"/>
        </w:rPr>
        <w:t>每</w:t>
      </w:r>
      <w:r>
        <w:rPr>
          <w:rFonts w:hint="eastAsia"/>
          <w:szCs w:val="32"/>
        </w:rPr>
        <w:t>个</w:t>
      </w:r>
      <w:r>
        <w:rPr>
          <w:szCs w:val="32"/>
        </w:rPr>
        <w:t>社</w:t>
      </w:r>
      <w:r>
        <w:rPr>
          <w:rFonts w:hint="eastAsia"/>
          <w:szCs w:val="32"/>
        </w:rPr>
        <w:t>区</w:t>
      </w:r>
      <w:r>
        <w:rPr>
          <w:rFonts w:hint="eastAsia"/>
          <w:szCs w:val="32"/>
        </w:rPr>
        <w:t>1500</w:t>
      </w:r>
      <w:r>
        <w:rPr>
          <w:rFonts w:hint="eastAsia"/>
          <w:szCs w:val="32"/>
        </w:rPr>
        <w:t>—</w:t>
      </w:r>
      <w:r>
        <w:rPr>
          <w:szCs w:val="32"/>
        </w:rPr>
        <w:t>3</w:t>
      </w:r>
      <w:r>
        <w:rPr>
          <w:rFonts w:hint="eastAsia"/>
          <w:szCs w:val="32"/>
        </w:rPr>
        <w:t>0</w:t>
      </w:r>
      <w:r>
        <w:rPr>
          <w:szCs w:val="32"/>
        </w:rPr>
        <w:t>00</w:t>
      </w:r>
      <w:r>
        <w:rPr>
          <w:szCs w:val="32"/>
        </w:rPr>
        <w:t>户左右</w:t>
      </w:r>
      <w:r>
        <w:rPr>
          <w:rFonts w:hint="eastAsia"/>
          <w:szCs w:val="32"/>
        </w:rPr>
        <w:t>的</w:t>
      </w:r>
      <w:r>
        <w:rPr>
          <w:szCs w:val="32"/>
        </w:rPr>
        <w:t>标准</w:t>
      </w:r>
      <w:r>
        <w:rPr>
          <w:rFonts w:hint="eastAsia"/>
          <w:szCs w:val="32"/>
        </w:rPr>
        <w:t>规划社区规模，按照集中、实用、方便的原则，打造社区服务综合体。</w:t>
      </w:r>
      <w:r>
        <w:rPr>
          <w:szCs w:val="32"/>
        </w:rPr>
        <w:t>非独立占地的</w:t>
      </w:r>
      <w:r>
        <w:rPr>
          <w:rFonts w:hint="eastAsia"/>
          <w:szCs w:val="32"/>
        </w:rPr>
        <w:t>社区配套用房应</w:t>
      </w:r>
      <w:r>
        <w:rPr>
          <w:szCs w:val="32"/>
        </w:rPr>
        <w:t>设置在方便社区居民</w:t>
      </w:r>
      <w:r>
        <w:rPr>
          <w:rFonts w:hint="eastAsia"/>
          <w:szCs w:val="32"/>
        </w:rPr>
        <w:t>办事、活动</w:t>
      </w:r>
      <w:r>
        <w:rPr>
          <w:szCs w:val="32"/>
        </w:rPr>
        <w:t>的沿街地段，</w:t>
      </w:r>
      <w:r>
        <w:rPr>
          <w:rFonts w:hint="eastAsia"/>
          <w:szCs w:val="32"/>
        </w:rPr>
        <w:t>位</w:t>
      </w:r>
      <w:r>
        <w:rPr>
          <w:szCs w:val="32"/>
        </w:rPr>
        <w:t>于所处建筑物的首层或二层</w:t>
      </w:r>
      <w:r>
        <w:rPr>
          <w:rFonts w:hint="eastAsia"/>
          <w:szCs w:val="32"/>
        </w:rPr>
        <w:t>，并</w:t>
      </w:r>
      <w:r>
        <w:rPr>
          <w:rFonts w:hint="eastAsia"/>
          <w:szCs w:val="32"/>
        </w:rPr>
        <w:t>在首层设置有独立出入口和办事接待空间，大框架结构，确保</w:t>
      </w:r>
      <w:r>
        <w:rPr>
          <w:szCs w:val="32"/>
        </w:rPr>
        <w:t>通风采光良好</w:t>
      </w:r>
      <w:r>
        <w:rPr>
          <w:rFonts w:hint="eastAsia"/>
          <w:szCs w:val="32"/>
        </w:rPr>
        <w:t>，具备水、电、卫、有线电视、宽带网线等各项基本设施。</w:t>
      </w:r>
    </w:p>
    <w:p w:rsidR="00B406BD" w:rsidRDefault="001C09C4">
      <w:pPr>
        <w:adjustRightInd w:val="0"/>
        <w:snapToGrid w:val="0"/>
        <w:spacing w:line="560" w:lineRule="exact"/>
        <w:ind w:firstLine="630"/>
        <w:rPr>
          <w:szCs w:val="32"/>
        </w:rPr>
      </w:pPr>
      <w:r>
        <w:rPr>
          <w:rFonts w:hint="eastAsia"/>
          <w:b/>
          <w:szCs w:val="32"/>
        </w:rPr>
        <w:t>第十三条</w:t>
      </w:r>
      <w:r>
        <w:rPr>
          <w:rFonts w:hint="eastAsia"/>
          <w:b/>
          <w:szCs w:val="32"/>
        </w:rPr>
        <w:t xml:space="preserve"> </w:t>
      </w:r>
      <w:r>
        <w:rPr>
          <w:rFonts w:hint="eastAsia"/>
          <w:szCs w:val="32"/>
        </w:rPr>
        <w:t>已建社区配套用房面积未达标的，在不影响城市规划实施的前提下，</w:t>
      </w:r>
      <w:r>
        <w:rPr>
          <w:rFonts w:hint="eastAsia"/>
          <w:szCs w:val="32"/>
        </w:rPr>
        <w:t>应</w:t>
      </w:r>
      <w:r>
        <w:rPr>
          <w:rFonts w:hint="eastAsia"/>
          <w:szCs w:val="32"/>
        </w:rPr>
        <w:t>参照本办法第三条，按所在街道提出申请，经公示征求利害关系人意见，由相关部门协助街道办妥相关手续后实施建设，面积不低于</w:t>
      </w:r>
      <w:r>
        <w:rPr>
          <w:szCs w:val="32"/>
        </w:rPr>
        <w:t>每百户</w:t>
      </w:r>
      <w:r>
        <w:rPr>
          <w:rFonts w:hint="eastAsia"/>
          <w:szCs w:val="32"/>
        </w:rPr>
        <w:t>80</w:t>
      </w:r>
      <w:r>
        <w:rPr>
          <w:rFonts w:hint="eastAsia"/>
          <w:szCs w:val="32"/>
        </w:rPr>
        <w:t>平方米</w:t>
      </w:r>
      <w:r>
        <w:rPr>
          <w:rFonts w:hint="eastAsia"/>
        </w:rPr>
        <w:t>。</w:t>
      </w:r>
    </w:p>
    <w:p w:rsidR="00B406BD" w:rsidRDefault="001C09C4">
      <w:pPr>
        <w:adjustRightInd w:val="0"/>
        <w:snapToGrid w:val="0"/>
        <w:spacing w:line="560" w:lineRule="exact"/>
        <w:ind w:firstLineChars="200" w:firstLine="643"/>
        <w:rPr>
          <w:szCs w:val="32"/>
        </w:rPr>
      </w:pPr>
      <w:r>
        <w:rPr>
          <w:rFonts w:hint="eastAsia"/>
          <w:b/>
          <w:szCs w:val="32"/>
        </w:rPr>
        <w:t>第十四条</w:t>
      </w:r>
      <w:r>
        <w:rPr>
          <w:rFonts w:hint="eastAsia"/>
          <w:b/>
          <w:szCs w:val="32"/>
        </w:rPr>
        <w:t xml:space="preserve"> </w:t>
      </w:r>
      <w:r>
        <w:rPr>
          <w:rFonts w:hint="eastAsia"/>
          <w:szCs w:val="32"/>
        </w:rPr>
        <w:t>在建</w:t>
      </w:r>
      <w:r>
        <w:rPr>
          <w:szCs w:val="32"/>
        </w:rPr>
        <w:t>社区</w:t>
      </w:r>
      <w:r>
        <w:rPr>
          <w:rFonts w:hint="eastAsia"/>
          <w:szCs w:val="32"/>
        </w:rPr>
        <w:t>（部分交付）配套用房面积未达标，</w:t>
      </w:r>
      <w:r>
        <w:rPr>
          <w:rFonts w:ascii="仿宋_GB2312" w:hint="eastAsia"/>
          <w:szCs w:val="32"/>
        </w:rPr>
        <w:t>且社区所在区域内尚有部分住宅待开发的，由区民政局会同街道明确该区域配套用房缺口后，区住建局或建管中心参照本办法第三条，</w:t>
      </w:r>
      <w:r>
        <w:rPr>
          <w:rFonts w:hint="eastAsia"/>
          <w:szCs w:val="32"/>
        </w:rPr>
        <w:t>在该社区内新规划</w:t>
      </w:r>
      <w:r>
        <w:rPr>
          <w:rFonts w:hint="eastAsia"/>
          <w:szCs w:val="32"/>
        </w:rPr>
        <w:t>的小区整合建设社区服务综合体；配套用房面积已达标但存在</w:t>
      </w:r>
      <w:r>
        <w:rPr>
          <w:rFonts w:hint="eastAsia"/>
          <w:szCs w:val="32"/>
        </w:rPr>
        <w:t>“散、乱、小”情况的，各街道应利用区、街国有资产，参照本办法第三条，选择区位适当、规模较大的场所，打造功能集约的社区服务综合体。</w:t>
      </w:r>
    </w:p>
    <w:p w:rsidR="00B406BD" w:rsidRDefault="001C09C4">
      <w:pPr>
        <w:adjustRightInd w:val="0"/>
        <w:snapToGrid w:val="0"/>
        <w:spacing w:line="560" w:lineRule="exact"/>
        <w:ind w:firstLine="630"/>
        <w:rPr>
          <w:szCs w:val="32"/>
        </w:rPr>
      </w:pPr>
      <w:r>
        <w:rPr>
          <w:rFonts w:hint="eastAsia"/>
          <w:szCs w:val="32"/>
        </w:rPr>
        <w:t xml:space="preserve"> </w:t>
      </w:r>
      <w:r>
        <w:rPr>
          <w:rFonts w:hint="eastAsia"/>
          <w:b/>
          <w:szCs w:val="32"/>
        </w:rPr>
        <w:t>第十五条</w:t>
      </w:r>
      <w:r>
        <w:rPr>
          <w:rFonts w:hint="eastAsia"/>
          <w:szCs w:val="32"/>
        </w:rPr>
        <w:t xml:space="preserve"> </w:t>
      </w:r>
      <w:r>
        <w:rPr>
          <w:rFonts w:hint="eastAsia"/>
          <w:szCs w:val="32"/>
        </w:rPr>
        <w:t>预建社区应综合考虑人口、户数、自然地域、服务半径等要素，在规划编</w:t>
      </w:r>
      <w:r>
        <w:rPr>
          <w:rFonts w:hint="eastAsia"/>
          <w:szCs w:val="32"/>
        </w:rPr>
        <w:t>制阶段</w:t>
      </w:r>
      <w:r>
        <w:rPr>
          <w:rFonts w:hint="eastAsia"/>
          <w:szCs w:val="32"/>
        </w:rPr>
        <w:t>前期</w:t>
      </w:r>
      <w:r>
        <w:rPr>
          <w:rFonts w:hint="eastAsia"/>
          <w:szCs w:val="32"/>
        </w:rPr>
        <w:t>谋划社</w:t>
      </w:r>
      <w:r>
        <w:rPr>
          <w:rFonts w:hint="eastAsia"/>
          <w:szCs w:val="32"/>
        </w:rPr>
        <w:t>区配套用房。在条件</w:t>
      </w:r>
      <w:r>
        <w:rPr>
          <w:rFonts w:hint="eastAsia"/>
          <w:szCs w:val="32"/>
        </w:rPr>
        <w:lastRenderedPageBreak/>
        <w:t>允许的情况下，应在交通便利的中心地段单独划拨地块，与社区公园等社区级公共服务设施一并开发建设社区服务综合体。</w:t>
      </w:r>
    </w:p>
    <w:p w:rsidR="00B406BD" w:rsidRDefault="00B406BD">
      <w:pPr>
        <w:adjustRightInd w:val="0"/>
        <w:snapToGrid w:val="0"/>
        <w:spacing w:line="560" w:lineRule="exact"/>
        <w:jc w:val="center"/>
        <w:rPr>
          <w:rFonts w:eastAsia="黑体"/>
          <w:szCs w:val="32"/>
        </w:rPr>
      </w:pPr>
    </w:p>
    <w:p w:rsidR="00B406BD" w:rsidRDefault="001C09C4">
      <w:pPr>
        <w:adjustRightInd w:val="0"/>
        <w:snapToGrid w:val="0"/>
        <w:spacing w:line="560" w:lineRule="exact"/>
        <w:jc w:val="center"/>
        <w:rPr>
          <w:rFonts w:eastAsia="黑体"/>
          <w:szCs w:val="32"/>
        </w:rPr>
      </w:pPr>
      <w:r>
        <w:rPr>
          <w:rFonts w:eastAsia="黑体"/>
          <w:szCs w:val="32"/>
        </w:rPr>
        <w:t>第</w:t>
      </w:r>
      <w:r>
        <w:rPr>
          <w:rFonts w:eastAsia="黑体" w:hint="eastAsia"/>
          <w:szCs w:val="32"/>
        </w:rPr>
        <w:t>五</w:t>
      </w:r>
      <w:r>
        <w:rPr>
          <w:rFonts w:eastAsia="黑体"/>
          <w:szCs w:val="32"/>
        </w:rPr>
        <w:t xml:space="preserve">章　</w:t>
      </w:r>
      <w:r>
        <w:rPr>
          <w:rFonts w:eastAsia="黑体" w:hint="eastAsia"/>
          <w:szCs w:val="32"/>
        </w:rPr>
        <w:t>社区配套用房验收移交</w:t>
      </w:r>
    </w:p>
    <w:p w:rsidR="00B406BD" w:rsidRDefault="001C09C4">
      <w:pPr>
        <w:adjustRightInd w:val="0"/>
        <w:snapToGrid w:val="0"/>
        <w:spacing w:line="560" w:lineRule="exact"/>
        <w:ind w:firstLineChars="200" w:firstLine="643"/>
        <w:rPr>
          <w:szCs w:val="32"/>
        </w:rPr>
      </w:pPr>
      <w:r>
        <w:rPr>
          <w:rFonts w:hint="eastAsia"/>
          <w:b/>
          <w:szCs w:val="32"/>
        </w:rPr>
        <w:t>第十六条</w:t>
      </w:r>
      <w:r>
        <w:rPr>
          <w:rFonts w:hint="eastAsia"/>
          <w:b/>
          <w:szCs w:val="32"/>
        </w:rPr>
        <w:t xml:space="preserve">  </w:t>
      </w:r>
      <w:r>
        <w:rPr>
          <w:rFonts w:hint="eastAsia"/>
          <w:szCs w:val="32"/>
        </w:rPr>
        <w:t>社区配套用房</w:t>
      </w:r>
      <w:r>
        <w:rPr>
          <w:szCs w:val="32"/>
        </w:rPr>
        <w:t>建设</w:t>
      </w:r>
      <w:r>
        <w:rPr>
          <w:szCs w:val="32"/>
        </w:rPr>
        <w:t>竣工</w:t>
      </w:r>
      <w:r>
        <w:rPr>
          <w:rFonts w:hint="eastAsia"/>
          <w:szCs w:val="32"/>
        </w:rPr>
        <w:t>并由相关单位验收合格</w:t>
      </w:r>
      <w:r>
        <w:rPr>
          <w:szCs w:val="32"/>
        </w:rPr>
        <w:t>后，由街道负责与开发建设单位签订移交、接收协议。街道在接收</w:t>
      </w:r>
      <w:r>
        <w:rPr>
          <w:rFonts w:hint="eastAsia"/>
          <w:szCs w:val="32"/>
        </w:rPr>
        <w:t>社区配套用房</w:t>
      </w:r>
      <w:r>
        <w:rPr>
          <w:szCs w:val="32"/>
        </w:rPr>
        <w:t>后，应及时向</w:t>
      </w:r>
      <w:r>
        <w:rPr>
          <w:rFonts w:hint="eastAsia"/>
          <w:szCs w:val="32"/>
        </w:rPr>
        <w:t>区住建局等相关职能部门</w:t>
      </w:r>
      <w:r>
        <w:rPr>
          <w:szCs w:val="32"/>
        </w:rPr>
        <w:t>申请</w:t>
      </w:r>
      <w:r>
        <w:rPr>
          <w:rFonts w:hint="eastAsia"/>
          <w:szCs w:val="32"/>
        </w:rPr>
        <w:t>，</w:t>
      </w:r>
      <w:r>
        <w:rPr>
          <w:szCs w:val="32"/>
        </w:rPr>
        <w:t>办理</w:t>
      </w:r>
      <w:r>
        <w:rPr>
          <w:rFonts w:hint="eastAsia"/>
          <w:szCs w:val="32"/>
        </w:rPr>
        <w:t>不动产权证</w:t>
      </w:r>
      <w:r>
        <w:rPr>
          <w:szCs w:val="32"/>
        </w:rPr>
        <w:t>。</w:t>
      </w:r>
      <w:r>
        <w:rPr>
          <w:rFonts w:hint="eastAsia"/>
          <w:szCs w:val="32"/>
        </w:rPr>
        <w:t>开发建设单位应积极配合。</w:t>
      </w:r>
    </w:p>
    <w:p w:rsidR="00B406BD" w:rsidRDefault="001C09C4">
      <w:pPr>
        <w:adjustRightInd w:val="0"/>
        <w:snapToGrid w:val="0"/>
        <w:spacing w:line="560" w:lineRule="exact"/>
        <w:ind w:firstLineChars="200" w:firstLine="643"/>
        <w:rPr>
          <w:szCs w:val="32"/>
        </w:rPr>
      </w:pPr>
      <w:r>
        <w:rPr>
          <w:rFonts w:hint="eastAsia"/>
          <w:b/>
          <w:szCs w:val="32"/>
        </w:rPr>
        <w:t>第十七条</w:t>
      </w:r>
      <w:r>
        <w:rPr>
          <w:rFonts w:hint="eastAsia"/>
          <w:szCs w:val="32"/>
        </w:rPr>
        <w:t xml:space="preserve">  </w:t>
      </w:r>
      <w:r>
        <w:rPr>
          <w:rFonts w:hint="eastAsia"/>
          <w:szCs w:val="32"/>
        </w:rPr>
        <w:t>社区配套用房不符合验收标准的，</w:t>
      </w:r>
      <w:r>
        <w:rPr>
          <w:rFonts w:hint="eastAsia"/>
          <w:szCs w:val="32"/>
        </w:rPr>
        <w:t>由区住建局或区建管中心督促</w:t>
      </w:r>
      <w:r>
        <w:rPr>
          <w:rFonts w:hint="eastAsia"/>
          <w:szCs w:val="32"/>
        </w:rPr>
        <w:t>建设单位必须限时整改。经整改仍不符合配置要求的，不予签订《社区配套用房移交协议书》。</w:t>
      </w:r>
    </w:p>
    <w:p w:rsidR="00B406BD" w:rsidRDefault="00B406BD">
      <w:pPr>
        <w:adjustRightInd w:val="0"/>
        <w:snapToGrid w:val="0"/>
        <w:spacing w:line="560" w:lineRule="exact"/>
        <w:rPr>
          <w:szCs w:val="32"/>
        </w:rPr>
      </w:pPr>
    </w:p>
    <w:p w:rsidR="00B406BD" w:rsidRDefault="001C09C4">
      <w:pPr>
        <w:adjustRightInd w:val="0"/>
        <w:snapToGrid w:val="0"/>
        <w:spacing w:line="560" w:lineRule="exact"/>
        <w:jc w:val="center"/>
        <w:rPr>
          <w:rFonts w:eastAsia="黑体"/>
          <w:b/>
          <w:szCs w:val="32"/>
        </w:rPr>
      </w:pPr>
      <w:r>
        <w:rPr>
          <w:rFonts w:eastAsia="黑体"/>
          <w:szCs w:val="32"/>
        </w:rPr>
        <w:t>第</w:t>
      </w:r>
      <w:r>
        <w:rPr>
          <w:rFonts w:eastAsia="黑体" w:hint="eastAsia"/>
          <w:szCs w:val="32"/>
        </w:rPr>
        <w:t>六</w:t>
      </w:r>
      <w:r>
        <w:rPr>
          <w:rFonts w:eastAsia="黑体"/>
          <w:szCs w:val="32"/>
        </w:rPr>
        <w:t xml:space="preserve">章　</w:t>
      </w:r>
      <w:r>
        <w:rPr>
          <w:rFonts w:eastAsia="黑体" w:hint="eastAsia"/>
          <w:szCs w:val="32"/>
        </w:rPr>
        <w:t>社区配套用房</w:t>
      </w:r>
      <w:r>
        <w:rPr>
          <w:rFonts w:eastAsia="黑体"/>
          <w:szCs w:val="32"/>
        </w:rPr>
        <w:t>管理</w:t>
      </w:r>
    </w:p>
    <w:p w:rsidR="00B406BD" w:rsidRDefault="001C09C4">
      <w:pPr>
        <w:adjustRightInd w:val="0"/>
        <w:snapToGrid w:val="0"/>
        <w:spacing w:line="560" w:lineRule="exact"/>
        <w:ind w:firstLine="645"/>
        <w:rPr>
          <w:szCs w:val="32"/>
        </w:rPr>
      </w:pPr>
      <w:r>
        <w:rPr>
          <w:rFonts w:hint="eastAsia"/>
          <w:b/>
          <w:szCs w:val="32"/>
        </w:rPr>
        <w:t>第十八条</w:t>
      </w:r>
      <w:r>
        <w:rPr>
          <w:rFonts w:hint="eastAsia"/>
          <w:szCs w:val="32"/>
        </w:rPr>
        <w:t xml:space="preserve">  </w:t>
      </w:r>
      <w:r>
        <w:rPr>
          <w:szCs w:val="32"/>
        </w:rPr>
        <w:t>社区居民委员会</w:t>
      </w:r>
      <w:r>
        <w:rPr>
          <w:rFonts w:hint="eastAsia"/>
          <w:szCs w:val="32"/>
        </w:rPr>
        <w:t>拥有社区配套用房的使用权和管理权。</w:t>
      </w:r>
      <w:r>
        <w:rPr>
          <w:szCs w:val="32"/>
        </w:rPr>
        <w:t>产权属</w:t>
      </w:r>
      <w:r>
        <w:rPr>
          <w:rFonts w:hint="eastAsia"/>
          <w:szCs w:val="32"/>
        </w:rPr>
        <w:t>街道</w:t>
      </w:r>
      <w:r>
        <w:rPr>
          <w:szCs w:val="32"/>
        </w:rPr>
        <w:t>的，维修、改造经费由</w:t>
      </w:r>
      <w:r>
        <w:rPr>
          <w:rFonts w:hint="eastAsia"/>
          <w:szCs w:val="32"/>
        </w:rPr>
        <w:t>街道</w:t>
      </w:r>
      <w:r>
        <w:rPr>
          <w:szCs w:val="32"/>
        </w:rPr>
        <w:t>负责；产权属原村级集体经济组织的，其产权关系不变</w:t>
      </w:r>
      <w:r>
        <w:rPr>
          <w:rFonts w:hint="eastAsia"/>
          <w:szCs w:val="32"/>
        </w:rPr>
        <w:t>，维修、改造经费由</w:t>
      </w:r>
      <w:r>
        <w:rPr>
          <w:szCs w:val="32"/>
        </w:rPr>
        <w:t>村级集体经济组织</w:t>
      </w:r>
      <w:r>
        <w:rPr>
          <w:rFonts w:hint="eastAsia"/>
          <w:szCs w:val="32"/>
        </w:rPr>
        <w:t>负</w:t>
      </w:r>
      <w:r>
        <w:rPr>
          <w:rFonts w:hint="eastAsia"/>
          <w:szCs w:val="32"/>
        </w:rPr>
        <w:t>责。</w:t>
      </w:r>
    </w:p>
    <w:p w:rsidR="00B406BD" w:rsidRDefault="001C09C4">
      <w:pPr>
        <w:adjustRightInd w:val="0"/>
        <w:snapToGrid w:val="0"/>
        <w:spacing w:line="560" w:lineRule="exact"/>
        <w:ind w:firstLine="645"/>
        <w:rPr>
          <w:szCs w:val="32"/>
        </w:rPr>
      </w:pPr>
      <w:r>
        <w:rPr>
          <w:rFonts w:hint="eastAsia"/>
          <w:b/>
          <w:szCs w:val="32"/>
        </w:rPr>
        <w:t>第十九条</w:t>
      </w:r>
      <w:r>
        <w:rPr>
          <w:rFonts w:hint="eastAsia"/>
          <w:szCs w:val="32"/>
        </w:rPr>
        <w:t xml:space="preserve">  </w:t>
      </w:r>
      <w:r>
        <w:rPr>
          <w:szCs w:val="32"/>
        </w:rPr>
        <w:t>因城市建设需要变更或拆迁</w:t>
      </w:r>
      <w:r>
        <w:rPr>
          <w:rFonts w:hint="eastAsia"/>
          <w:szCs w:val="32"/>
        </w:rPr>
        <w:t>社区配套用房</w:t>
      </w:r>
      <w:r>
        <w:rPr>
          <w:szCs w:val="32"/>
        </w:rPr>
        <w:t>的，</w:t>
      </w:r>
      <w:r>
        <w:rPr>
          <w:rFonts w:hint="eastAsia"/>
          <w:szCs w:val="32"/>
        </w:rPr>
        <w:t>街道</w:t>
      </w:r>
      <w:r>
        <w:rPr>
          <w:szCs w:val="32"/>
        </w:rPr>
        <w:t>应提出重建方案，报区社区建设指导委员会办公室备案。</w:t>
      </w:r>
      <w:r>
        <w:rPr>
          <w:rFonts w:hint="eastAsia"/>
          <w:szCs w:val="32"/>
        </w:rPr>
        <w:t>社区配套用房</w:t>
      </w:r>
      <w:r>
        <w:rPr>
          <w:szCs w:val="32"/>
        </w:rPr>
        <w:t>拆迁，</w:t>
      </w:r>
      <w:r>
        <w:rPr>
          <w:rFonts w:hint="eastAsia"/>
          <w:szCs w:val="32"/>
        </w:rPr>
        <w:t>按区相关拆迁政策执行。</w:t>
      </w:r>
    </w:p>
    <w:p w:rsidR="00B406BD" w:rsidRDefault="001C09C4">
      <w:pPr>
        <w:adjustRightInd w:val="0"/>
        <w:snapToGrid w:val="0"/>
        <w:spacing w:line="560" w:lineRule="exact"/>
        <w:ind w:firstLine="645"/>
        <w:rPr>
          <w:szCs w:val="32"/>
        </w:rPr>
      </w:pPr>
      <w:r>
        <w:rPr>
          <w:rFonts w:hint="eastAsia"/>
          <w:b/>
          <w:szCs w:val="32"/>
        </w:rPr>
        <w:t>第二十条</w:t>
      </w:r>
      <w:r>
        <w:rPr>
          <w:rFonts w:hint="eastAsia"/>
          <w:szCs w:val="32"/>
        </w:rPr>
        <w:t xml:space="preserve">  </w:t>
      </w:r>
      <w:r>
        <w:rPr>
          <w:szCs w:val="32"/>
        </w:rPr>
        <w:t>社区居民委员会撤销或合并后闲置的</w:t>
      </w:r>
      <w:r>
        <w:rPr>
          <w:rFonts w:hint="eastAsia"/>
          <w:szCs w:val="32"/>
        </w:rPr>
        <w:t>社区配套用房，</w:t>
      </w:r>
      <w:r>
        <w:rPr>
          <w:szCs w:val="32"/>
        </w:rPr>
        <w:t>由所在</w:t>
      </w:r>
      <w:r>
        <w:rPr>
          <w:rFonts w:hint="eastAsia"/>
          <w:szCs w:val="32"/>
        </w:rPr>
        <w:t>街道</w:t>
      </w:r>
      <w:r>
        <w:rPr>
          <w:szCs w:val="32"/>
        </w:rPr>
        <w:t>统一调剂。</w:t>
      </w:r>
    </w:p>
    <w:p w:rsidR="00B406BD" w:rsidRDefault="001C09C4">
      <w:pPr>
        <w:adjustRightInd w:val="0"/>
        <w:snapToGrid w:val="0"/>
        <w:spacing w:line="560" w:lineRule="exact"/>
        <w:ind w:firstLine="645"/>
        <w:rPr>
          <w:szCs w:val="32"/>
        </w:rPr>
      </w:pPr>
      <w:r>
        <w:rPr>
          <w:rFonts w:hint="eastAsia"/>
          <w:b/>
          <w:szCs w:val="32"/>
        </w:rPr>
        <w:t>第二十一条</w:t>
      </w:r>
      <w:r>
        <w:rPr>
          <w:rFonts w:hint="eastAsia"/>
          <w:szCs w:val="32"/>
        </w:rPr>
        <w:t xml:space="preserve">  </w:t>
      </w:r>
      <w:r>
        <w:rPr>
          <w:szCs w:val="32"/>
        </w:rPr>
        <w:t>辖区单位内的操场、体育健身设施、教室、文化娱乐等场所，按照</w:t>
      </w:r>
      <w:r>
        <w:rPr>
          <w:szCs w:val="32"/>
        </w:rPr>
        <w:t>“</w:t>
      </w:r>
      <w:r>
        <w:rPr>
          <w:szCs w:val="32"/>
        </w:rPr>
        <w:t>共驻共建、资源共享</w:t>
      </w:r>
      <w:r>
        <w:rPr>
          <w:szCs w:val="32"/>
        </w:rPr>
        <w:t>”</w:t>
      </w:r>
      <w:r>
        <w:rPr>
          <w:szCs w:val="32"/>
        </w:rPr>
        <w:t>原则，纳入</w:t>
      </w:r>
      <w:r>
        <w:rPr>
          <w:rFonts w:hint="eastAsia"/>
          <w:szCs w:val="32"/>
        </w:rPr>
        <w:t>社区配套</w:t>
      </w:r>
      <w:r>
        <w:rPr>
          <w:rFonts w:hint="eastAsia"/>
          <w:szCs w:val="32"/>
        </w:rPr>
        <w:lastRenderedPageBreak/>
        <w:t>用房</w:t>
      </w:r>
      <w:r>
        <w:rPr>
          <w:szCs w:val="32"/>
        </w:rPr>
        <w:t>管理范围，</w:t>
      </w:r>
      <w:r>
        <w:rPr>
          <w:rFonts w:hint="eastAsia"/>
          <w:szCs w:val="32"/>
        </w:rPr>
        <w:t>但</w:t>
      </w:r>
      <w:r>
        <w:rPr>
          <w:szCs w:val="32"/>
        </w:rPr>
        <w:t>面积不计入</w:t>
      </w:r>
      <w:r>
        <w:rPr>
          <w:rFonts w:hint="eastAsia"/>
          <w:szCs w:val="32"/>
        </w:rPr>
        <w:t>社区配套用房</w:t>
      </w:r>
      <w:r>
        <w:rPr>
          <w:szCs w:val="32"/>
        </w:rPr>
        <w:t>总面积。</w:t>
      </w:r>
    </w:p>
    <w:p w:rsidR="00B406BD" w:rsidRDefault="00B406BD">
      <w:pPr>
        <w:adjustRightInd w:val="0"/>
        <w:snapToGrid w:val="0"/>
        <w:spacing w:line="560" w:lineRule="exact"/>
        <w:jc w:val="center"/>
        <w:rPr>
          <w:rFonts w:eastAsia="黑体"/>
          <w:szCs w:val="32"/>
        </w:rPr>
      </w:pPr>
    </w:p>
    <w:p w:rsidR="00B406BD" w:rsidRDefault="001C09C4">
      <w:pPr>
        <w:adjustRightInd w:val="0"/>
        <w:snapToGrid w:val="0"/>
        <w:spacing w:line="560" w:lineRule="exact"/>
        <w:jc w:val="center"/>
        <w:rPr>
          <w:szCs w:val="32"/>
        </w:rPr>
      </w:pPr>
      <w:r>
        <w:rPr>
          <w:rFonts w:eastAsia="黑体"/>
          <w:szCs w:val="32"/>
        </w:rPr>
        <w:t>第</w:t>
      </w:r>
      <w:r>
        <w:rPr>
          <w:rFonts w:eastAsia="黑体" w:hint="eastAsia"/>
          <w:szCs w:val="32"/>
        </w:rPr>
        <w:t>七</w:t>
      </w:r>
      <w:r>
        <w:rPr>
          <w:rFonts w:eastAsia="黑体"/>
          <w:szCs w:val="32"/>
        </w:rPr>
        <w:t>章</w:t>
      </w:r>
      <w:r>
        <w:rPr>
          <w:rFonts w:eastAsia="黑体" w:hint="eastAsia"/>
          <w:szCs w:val="32"/>
        </w:rPr>
        <w:t xml:space="preserve">  </w:t>
      </w:r>
      <w:r>
        <w:rPr>
          <w:rFonts w:eastAsia="黑体" w:hint="eastAsia"/>
          <w:szCs w:val="32"/>
        </w:rPr>
        <w:t>社区配套用房保障</w:t>
      </w:r>
    </w:p>
    <w:p w:rsidR="00B406BD" w:rsidRDefault="001C09C4">
      <w:pPr>
        <w:adjustRightInd w:val="0"/>
        <w:snapToGrid w:val="0"/>
        <w:spacing w:line="560" w:lineRule="exact"/>
        <w:ind w:firstLine="630"/>
        <w:rPr>
          <w:szCs w:val="32"/>
        </w:rPr>
      </w:pPr>
      <w:r>
        <w:rPr>
          <w:rFonts w:hint="eastAsia"/>
          <w:b/>
          <w:szCs w:val="32"/>
        </w:rPr>
        <w:t>第二十二条</w:t>
      </w:r>
      <w:r>
        <w:rPr>
          <w:rFonts w:hint="eastAsia"/>
          <w:szCs w:val="32"/>
        </w:rPr>
        <w:t xml:space="preserve">  </w:t>
      </w:r>
      <w:r>
        <w:rPr>
          <w:rFonts w:hint="eastAsia"/>
          <w:szCs w:val="32"/>
        </w:rPr>
        <w:t>区财政局负责社区配套用房标准化</w:t>
      </w:r>
      <w:r>
        <w:rPr>
          <w:szCs w:val="32"/>
        </w:rPr>
        <w:t>建设资金</w:t>
      </w:r>
      <w:r>
        <w:rPr>
          <w:rFonts w:hint="eastAsia"/>
          <w:szCs w:val="32"/>
        </w:rPr>
        <w:t>的保障；</w:t>
      </w:r>
      <w:r>
        <w:rPr>
          <w:rFonts w:ascii="仿宋_GB2312" w:hint="eastAsia"/>
          <w:szCs w:val="32"/>
        </w:rPr>
        <w:t>区规划资源分局，区住建局负责落实社区配套用房的规划、建设审批</w:t>
      </w:r>
      <w:r>
        <w:rPr>
          <w:szCs w:val="32"/>
        </w:rPr>
        <w:t>；区建管中心负责</w:t>
      </w:r>
      <w:r>
        <w:rPr>
          <w:rFonts w:hint="eastAsia"/>
          <w:szCs w:val="32"/>
        </w:rPr>
        <w:t>制定安置房建设交付办法，</w:t>
      </w:r>
      <w:r>
        <w:rPr>
          <w:szCs w:val="32"/>
        </w:rPr>
        <w:t>落实农转居拆迁安置房小区</w:t>
      </w:r>
      <w:r>
        <w:rPr>
          <w:rFonts w:hint="eastAsia"/>
          <w:szCs w:val="32"/>
        </w:rPr>
        <w:t>社区配套用房</w:t>
      </w:r>
      <w:r>
        <w:rPr>
          <w:szCs w:val="32"/>
        </w:rPr>
        <w:t>的建设；区民政局负责监督</w:t>
      </w:r>
      <w:r>
        <w:rPr>
          <w:rFonts w:hint="eastAsia"/>
          <w:szCs w:val="32"/>
        </w:rPr>
        <w:t>社区配套用房功能设置及</w:t>
      </w:r>
      <w:r>
        <w:rPr>
          <w:szCs w:val="32"/>
        </w:rPr>
        <w:t>使用管理</w:t>
      </w:r>
      <w:r>
        <w:rPr>
          <w:rFonts w:hint="eastAsia"/>
          <w:szCs w:val="32"/>
        </w:rPr>
        <w:t>；各街道接收社区配套用房后，负责社区服务综合体</w:t>
      </w:r>
      <w:r w:rsidR="00076BCB">
        <w:rPr>
          <w:rFonts w:hint="eastAsia"/>
          <w:szCs w:val="32"/>
        </w:rPr>
        <w:t>的</w:t>
      </w:r>
      <w:r>
        <w:rPr>
          <w:rFonts w:hint="eastAsia"/>
          <w:szCs w:val="32"/>
        </w:rPr>
        <w:t>功能完善、设计建设和管理运行，制定社区服务综合体运行管理办法，推行第三方专业机构运营，同时配合做好</w:t>
      </w:r>
      <w:r>
        <w:rPr>
          <w:szCs w:val="32"/>
        </w:rPr>
        <w:t>规划、选址</w:t>
      </w:r>
      <w:r>
        <w:rPr>
          <w:rFonts w:hint="eastAsia"/>
          <w:szCs w:val="32"/>
        </w:rPr>
        <w:t>的确认和监督</w:t>
      </w:r>
      <w:r>
        <w:rPr>
          <w:szCs w:val="32"/>
        </w:rPr>
        <w:t>。</w:t>
      </w:r>
    </w:p>
    <w:p w:rsidR="00B406BD" w:rsidRDefault="001C09C4">
      <w:pPr>
        <w:adjustRightInd w:val="0"/>
        <w:snapToGrid w:val="0"/>
        <w:spacing w:line="560" w:lineRule="exact"/>
        <w:ind w:firstLine="645"/>
        <w:rPr>
          <w:szCs w:val="32"/>
        </w:rPr>
      </w:pPr>
      <w:r>
        <w:rPr>
          <w:rFonts w:hint="eastAsia"/>
          <w:b/>
          <w:szCs w:val="32"/>
        </w:rPr>
        <w:t>第二十三条</w:t>
      </w:r>
      <w:r>
        <w:rPr>
          <w:rFonts w:hint="eastAsia"/>
          <w:szCs w:val="32"/>
        </w:rPr>
        <w:t xml:space="preserve">  </w:t>
      </w:r>
      <w:r>
        <w:rPr>
          <w:szCs w:val="32"/>
        </w:rPr>
        <w:t>本办法由区社区建设指导委员会办公室负责解释。</w:t>
      </w:r>
      <w:r>
        <w:rPr>
          <w:szCs w:val="32"/>
        </w:rPr>
        <w:t xml:space="preserve"> </w:t>
      </w:r>
    </w:p>
    <w:p w:rsidR="00B406BD" w:rsidRDefault="001C09C4">
      <w:pPr>
        <w:adjustRightInd w:val="0"/>
        <w:snapToGrid w:val="0"/>
        <w:spacing w:line="560" w:lineRule="exact"/>
        <w:ind w:firstLine="645"/>
        <w:rPr>
          <w:szCs w:val="32"/>
        </w:rPr>
      </w:pPr>
      <w:r>
        <w:rPr>
          <w:rFonts w:hint="eastAsia"/>
          <w:b/>
          <w:szCs w:val="32"/>
        </w:rPr>
        <w:t>第二十四条</w:t>
      </w:r>
      <w:r>
        <w:rPr>
          <w:rFonts w:hint="eastAsia"/>
          <w:szCs w:val="32"/>
        </w:rPr>
        <w:t xml:space="preserve">  </w:t>
      </w:r>
      <w:r>
        <w:rPr>
          <w:rFonts w:hint="eastAsia"/>
          <w:szCs w:val="32"/>
        </w:rPr>
        <w:t>本办法自发布之日起施行，《杭州市滨江区社区配套用房建设使用管理暂行办法》</w:t>
      </w:r>
      <w:r>
        <w:rPr>
          <w:rFonts w:hint="eastAsia"/>
          <w:szCs w:val="32"/>
        </w:rPr>
        <w:t>（滨政办〔</w:t>
      </w:r>
      <w:r>
        <w:rPr>
          <w:rFonts w:hint="eastAsia"/>
          <w:szCs w:val="32"/>
        </w:rPr>
        <w:t>2011</w:t>
      </w:r>
      <w:r>
        <w:rPr>
          <w:rFonts w:hint="eastAsia"/>
          <w:szCs w:val="32"/>
        </w:rPr>
        <w:t>〕</w:t>
      </w:r>
      <w:r>
        <w:rPr>
          <w:rFonts w:hint="eastAsia"/>
          <w:szCs w:val="32"/>
        </w:rPr>
        <w:t>24</w:t>
      </w:r>
      <w:r>
        <w:rPr>
          <w:rFonts w:hint="eastAsia"/>
          <w:szCs w:val="32"/>
        </w:rPr>
        <w:t>号）同时废止。</w:t>
      </w:r>
    </w:p>
    <w:p w:rsidR="00B406BD" w:rsidRDefault="00B406BD">
      <w:pPr>
        <w:adjustRightInd w:val="0"/>
        <w:snapToGrid w:val="0"/>
        <w:spacing w:line="360" w:lineRule="auto"/>
        <w:ind w:firstLine="645"/>
        <w:rPr>
          <w:szCs w:val="32"/>
        </w:rPr>
      </w:pPr>
    </w:p>
    <w:p w:rsidR="00B406BD" w:rsidRDefault="00B406BD">
      <w:pPr>
        <w:spacing w:line="360" w:lineRule="auto"/>
      </w:pPr>
    </w:p>
    <w:sectPr w:rsidR="00B406BD" w:rsidSect="00B406BD">
      <w:headerReference w:type="default" r:id="rId8"/>
      <w:footerReference w:type="even" r:id="rId9"/>
      <w:footerReference w:type="default" r:id="rId10"/>
      <w:pgSz w:w="11906" w:h="16838"/>
      <w:pgMar w:top="1701" w:right="1531" w:bottom="1531"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09C4" w:rsidRDefault="001C09C4" w:rsidP="00B406BD">
      <w:r>
        <w:separator/>
      </w:r>
    </w:p>
  </w:endnote>
  <w:endnote w:type="continuationSeparator" w:id="0">
    <w:p w:rsidR="001C09C4" w:rsidRDefault="001C09C4" w:rsidP="00B406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6BD" w:rsidRDefault="00B406BD">
    <w:pPr>
      <w:pStyle w:val="a5"/>
      <w:framePr w:wrap="around" w:vAnchor="text" w:hAnchor="margin" w:xAlign="right" w:y="1"/>
      <w:rPr>
        <w:rStyle w:val="aa"/>
      </w:rPr>
    </w:pPr>
    <w:r>
      <w:rPr>
        <w:rStyle w:val="aa"/>
      </w:rPr>
      <w:fldChar w:fldCharType="begin"/>
    </w:r>
    <w:r w:rsidR="001C09C4">
      <w:rPr>
        <w:rStyle w:val="aa"/>
      </w:rPr>
      <w:instrText xml:space="preserve">PAGE  </w:instrText>
    </w:r>
    <w:r>
      <w:rPr>
        <w:rStyle w:val="aa"/>
      </w:rPr>
      <w:fldChar w:fldCharType="end"/>
    </w:r>
  </w:p>
  <w:p w:rsidR="00B406BD" w:rsidRDefault="00B406BD">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6BD" w:rsidRDefault="00B406BD">
    <w:pPr>
      <w:pStyle w:val="a5"/>
      <w:framePr w:wrap="around" w:vAnchor="text" w:hAnchor="margin" w:xAlign="right" w:y="1"/>
      <w:rPr>
        <w:rStyle w:val="aa"/>
      </w:rPr>
    </w:pPr>
    <w:r>
      <w:rPr>
        <w:rStyle w:val="aa"/>
      </w:rPr>
      <w:fldChar w:fldCharType="begin"/>
    </w:r>
    <w:r w:rsidR="001C09C4">
      <w:rPr>
        <w:rStyle w:val="aa"/>
      </w:rPr>
      <w:instrText xml:space="preserve">PAGE  </w:instrText>
    </w:r>
    <w:r>
      <w:rPr>
        <w:rStyle w:val="aa"/>
      </w:rPr>
      <w:fldChar w:fldCharType="separate"/>
    </w:r>
    <w:r w:rsidR="00076BCB">
      <w:rPr>
        <w:rStyle w:val="aa"/>
        <w:noProof/>
      </w:rPr>
      <w:t>6</w:t>
    </w:r>
    <w:r>
      <w:rPr>
        <w:rStyle w:val="aa"/>
      </w:rPr>
      <w:fldChar w:fldCharType="end"/>
    </w:r>
  </w:p>
  <w:p w:rsidR="00B406BD" w:rsidRDefault="00B406BD">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09C4" w:rsidRDefault="001C09C4" w:rsidP="00B406BD">
      <w:r>
        <w:separator/>
      </w:r>
    </w:p>
  </w:footnote>
  <w:footnote w:type="continuationSeparator" w:id="0">
    <w:p w:rsidR="001C09C4" w:rsidRDefault="001C09C4" w:rsidP="00B406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6BD" w:rsidRDefault="00B406BD">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E6D69"/>
    <w:rsid w:val="00012002"/>
    <w:rsid w:val="000232F7"/>
    <w:rsid w:val="000318DF"/>
    <w:rsid w:val="000452D8"/>
    <w:rsid w:val="00046863"/>
    <w:rsid w:val="0005120D"/>
    <w:rsid w:val="00051AAC"/>
    <w:rsid w:val="00067A00"/>
    <w:rsid w:val="0007025D"/>
    <w:rsid w:val="00076BCB"/>
    <w:rsid w:val="000770C0"/>
    <w:rsid w:val="000824B7"/>
    <w:rsid w:val="000921D3"/>
    <w:rsid w:val="000A0C23"/>
    <w:rsid w:val="000A3022"/>
    <w:rsid w:val="000B6076"/>
    <w:rsid w:val="000C7E94"/>
    <w:rsid w:val="000D710D"/>
    <w:rsid w:val="000F72B8"/>
    <w:rsid w:val="00100CA6"/>
    <w:rsid w:val="0012117E"/>
    <w:rsid w:val="00122E2B"/>
    <w:rsid w:val="001333FB"/>
    <w:rsid w:val="001512B4"/>
    <w:rsid w:val="00154F24"/>
    <w:rsid w:val="001677AB"/>
    <w:rsid w:val="00180319"/>
    <w:rsid w:val="00180C02"/>
    <w:rsid w:val="00186727"/>
    <w:rsid w:val="001A3134"/>
    <w:rsid w:val="001C09C4"/>
    <w:rsid w:val="001C71B8"/>
    <w:rsid w:val="001C7B4E"/>
    <w:rsid w:val="001D4EBB"/>
    <w:rsid w:val="001E4405"/>
    <w:rsid w:val="001F5831"/>
    <w:rsid w:val="001F74C0"/>
    <w:rsid w:val="00206EEB"/>
    <w:rsid w:val="0021313F"/>
    <w:rsid w:val="00216BB2"/>
    <w:rsid w:val="00217098"/>
    <w:rsid w:val="0022183A"/>
    <w:rsid w:val="002251BF"/>
    <w:rsid w:val="002358F6"/>
    <w:rsid w:val="00252B5B"/>
    <w:rsid w:val="002609F4"/>
    <w:rsid w:val="00263DA9"/>
    <w:rsid w:val="002862AA"/>
    <w:rsid w:val="00286F91"/>
    <w:rsid w:val="002952EB"/>
    <w:rsid w:val="002A0A81"/>
    <w:rsid w:val="002A6AD8"/>
    <w:rsid w:val="002A7331"/>
    <w:rsid w:val="002A7573"/>
    <w:rsid w:val="002B0F7D"/>
    <w:rsid w:val="002B187E"/>
    <w:rsid w:val="002B2938"/>
    <w:rsid w:val="002C6C71"/>
    <w:rsid w:val="002D480B"/>
    <w:rsid w:val="002E5AA4"/>
    <w:rsid w:val="002F4ECD"/>
    <w:rsid w:val="002F6159"/>
    <w:rsid w:val="00301403"/>
    <w:rsid w:val="0030489F"/>
    <w:rsid w:val="00332FC3"/>
    <w:rsid w:val="00340B47"/>
    <w:rsid w:val="00343585"/>
    <w:rsid w:val="00346C2D"/>
    <w:rsid w:val="003475F8"/>
    <w:rsid w:val="00367DA7"/>
    <w:rsid w:val="00373030"/>
    <w:rsid w:val="00394B8E"/>
    <w:rsid w:val="0039682B"/>
    <w:rsid w:val="003A37B2"/>
    <w:rsid w:val="003B0CCE"/>
    <w:rsid w:val="003D36B3"/>
    <w:rsid w:val="003D3FF0"/>
    <w:rsid w:val="003D5508"/>
    <w:rsid w:val="003E2F6C"/>
    <w:rsid w:val="003E7D94"/>
    <w:rsid w:val="004109A5"/>
    <w:rsid w:val="00413ABE"/>
    <w:rsid w:val="0041631D"/>
    <w:rsid w:val="00420A98"/>
    <w:rsid w:val="00432D4C"/>
    <w:rsid w:val="00447B28"/>
    <w:rsid w:val="004529E3"/>
    <w:rsid w:val="00452DA8"/>
    <w:rsid w:val="00460409"/>
    <w:rsid w:val="004635EB"/>
    <w:rsid w:val="00491D47"/>
    <w:rsid w:val="004A2E96"/>
    <w:rsid w:val="004B6556"/>
    <w:rsid w:val="004C297E"/>
    <w:rsid w:val="004C31E1"/>
    <w:rsid w:val="004C5BBD"/>
    <w:rsid w:val="004C702B"/>
    <w:rsid w:val="004C7EA9"/>
    <w:rsid w:val="004E37A7"/>
    <w:rsid w:val="004E67F7"/>
    <w:rsid w:val="004F425C"/>
    <w:rsid w:val="005004C5"/>
    <w:rsid w:val="00500771"/>
    <w:rsid w:val="005034A6"/>
    <w:rsid w:val="0052100E"/>
    <w:rsid w:val="00535307"/>
    <w:rsid w:val="00541802"/>
    <w:rsid w:val="00546644"/>
    <w:rsid w:val="00546E9A"/>
    <w:rsid w:val="00552092"/>
    <w:rsid w:val="005523D4"/>
    <w:rsid w:val="00552BC3"/>
    <w:rsid w:val="0056442C"/>
    <w:rsid w:val="00570066"/>
    <w:rsid w:val="00576F1D"/>
    <w:rsid w:val="0059195E"/>
    <w:rsid w:val="00594B7A"/>
    <w:rsid w:val="00595711"/>
    <w:rsid w:val="005A1074"/>
    <w:rsid w:val="005A7529"/>
    <w:rsid w:val="005A7972"/>
    <w:rsid w:val="005B7709"/>
    <w:rsid w:val="005C3F34"/>
    <w:rsid w:val="005C62CF"/>
    <w:rsid w:val="005C6BBA"/>
    <w:rsid w:val="005C6EC3"/>
    <w:rsid w:val="005D41AB"/>
    <w:rsid w:val="005E65FE"/>
    <w:rsid w:val="005F0462"/>
    <w:rsid w:val="005F3500"/>
    <w:rsid w:val="005F4487"/>
    <w:rsid w:val="00606AE3"/>
    <w:rsid w:val="00606E79"/>
    <w:rsid w:val="00610D37"/>
    <w:rsid w:val="006160FE"/>
    <w:rsid w:val="00623002"/>
    <w:rsid w:val="00634CD5"/>
    <w:rsid w:val="00637C68"/>
    <w:rsid w:val="00652889"/>
    <w:rsid w:val="00663D3F"/>
    <w:rsid w:val="00666AAD"/>
    <w:rsid w:val="00672354"/>
    <w:rsid w:val="00683E9B"/>
    <w:rsid w:val="00686B26"/>
    <w:rsid w:val="006A1076"/>
    <w:rsid w:val="006B0655"/>
    <w:rsid w:val="006B6488"/>
    <w:rsid w:val="006C5AF0"/>
    <w:rsid w:val="006D021A"/>
    <w:rsid w:val="006D2CDB"/>
    <w:rsid w:val="006F285D"/>
    <w:rsid w:val="006F6D34"/>
    <w:rsid w:val="007020DB"/>
    <w:rsid w:val="0070369F"/>
    <w:rsid w:val="00712398"/>
    <w:rsid w:val="0073604C"/>
    <w:rsid w:val="00751760"/>
    <w:rsid w:val="00752713"/>
    <w:rsid w:val="00755F9C"/>
    <w:rsid w:val="0077103B"/>
    <w:rsid w:val="00771FAD"/>
    <w:rsid w:val="0077653B"/>
    <w:rsid w:val="00781FDA"/>
    <w:rsid w:val="007903AE"/>
    <w:rsid w:val="00795984"/>
    <w:rsid w:val="007A303C"/>
    <w:rsid w:val="007A40DF"/>
    <w:rsid w:val="007A7543"/>
    <w:rsid w:val="007B50AA"/>
    <w:rsid w:val="007B7508"/>
    <w:rsid w:val="007D6F89"/>
    <w:rsid w:val="007E6D69"/>
    <w:rsid w:val="007F568C"/>
    <w:rsid w:val="0080050B"/>
    <w:rsid w:val="00804FEA"/>
    <w:rsid w:val="00810323"/>
    <w:rsid w:val="008145E3"/>
    <w:rsid w:val="00814A98"/>
    <w:rsid w:val="00836534"/>
    <w:rsid w:val="00836CE5"/>
    <w:rsid w:val="00840587"/>
    <w:rsid w:val="00842F4E"/>
    <w:rsid w:val="00866E22"/>
    <w:rsid w:val="00881E2E"/>
    <w:rsid w:val="00886E7C"/>
    <w:rsid w:val="00890CCD"/>
    <w:rsid w:val="00891FB9"/>
    <w:rsid w:val="008A2D0B"/>
    <w:rsid w:val="008A6F89"/>
    <w:rsid w:val="008B2F05"/>
    <w:rsid w:val="008B7D97"/>
    <w:rsid w:val="008C2CED"/>
    <w:rsid w:val="008D2B21"/>
    <w:rsid w:val="008E188F"/>
    <w:rsid w:val="008E752F"/>
    <w:rsid w:val="00911C48"/>
    <w:rsid w:val="009160F6"/>
    <w:rsid w:val="009217D1"/>
    <w:rsid w:val="00927365"/>
    <w:rsid w:val="00937D10"/>
    <w:rsid w:val="00945BDF"/>
    <w:rsid w:val="009525D0"/>
    <w:rsid w:val="009554D6"/>
    <w:rsid w:val="009775D6"/>
    <w:rsid w:val="009861A1"/>
    <w:rsid w:val="009A2AF1"/>
    <w:rsid w:val="009B3D89"/>
    <w:rsid w:val="009D75E3"/>
    <w:rsid w:val="009E7C9C"/>
    <w:rsid w:val="009F32BC"/>
    <w:rsid w:val="00A06B07"/>
    <w:rsid w:val="00A154FB"/>
    <w:rsid w:val="00A233E6"/>
    <w:rsid w:val="00A23957"/>
    <w:rsid w:val="00A322BA"/>
    <w:rsid w:val="00A45427"/>
    <w:rsid w:val="00A5019E"/>
    <w:rsid w:val="00A60CA7"/>
    <w:rsid w:val="00A646B7"/>
    <w:rsid w:val="00A80ABE"/>
    <w:rsid w:val="00A81F4B"/>
    <w:rsid w:val="00A83CEF"/>
    <w:rsid w:val="00A91C56"/>
    <w:rsid w:val="00A92DA6"/>
    <w:rsid w:val="00A956DB"/>
    <w:rsid w:val="00AA0A55"/>
    <w:rsid w:val="00AA7131"/>
    <w:rsid w:val="00AB3ED7"/>
    <w:rsid w:val="00AC7753"/>
    <w:rsid w:val="00AD6A51"/>
    <w:rsid w:val="00AD7D74"/>
    <w:rsid w:val="00AE0AD0"/>
    <w:rsid w:val="00AF2F0F"/>
    <w:rsid w:val="00AF5877"/>
    <w:rsid w:val="00AF5E75"/>
    <w:rsid w:val="00B02530"/>
    <w:rsid w:val="00B10CFA"/>
    <w:rsid w:val="00B2517B"/>
    <w:rsid w:val="00B406BD"/>
    <w:rsid w:val="00B44797"/>
    <w:rsid w:val="00B47291"/>
    <w:rsid w:val="00B52516"/>
    <w:rsid w:val="00B5363B"/>
    <w:rsid w:val="00B67CF0"/>
    <w:rsid w:val="00B70441"/>
    <w:rsid w:val="00B75E51"/>
    <w:rsid w:val="00B9379E"/>
    <w:rsid w:val="00B95DAC"/>
    <w:rsid w:val="00B97E82"/>
    <w:rsid w:val="00BA1A7B"/>
    <w:rsid w:val="00BB53A4"/>
    <w:rsid w:val="00BC61B1"/>
    <w:rsid w:val="00BC649D"/>
    <w:rsid w:val="00BD101C"/>
    <w:rsid w:val="00BE6D76"/>
    <w:rsid w:val="00BF6CFB"/>
    <w:rsid w:val="00C001CE"/>
    <w:rsid w:val="00C06AA4"/>
    <w:rsid w:val="00C23DC6"/>
    <w:rsid w:val="00C32CE6"/>
    <w:rsid w:val="00C330AC"/>
    <w:rsid w:val="00C36082"/>
    <w:rsid w:val="00C40C7F"/>
    <w:rsid w:val="00C66FEA"/>
    <w:rsid w:val="00C7029F"/>
    <w:rsid w:val="00C74AE1"/>
    <w:rsid w:val="00C80180"/>
    <w:rsid w:val="00C919C8"/>
    <w:rsid w:val="00C947F5"/>
    <w:rsid w:val="00CA02C4"/>
    <w:rsid w:val="00CA0AC9"/>
    <w:rsid w:val="00CB0C56"/>
    <w:rsid w:val="00CB0DBF"/>
    <w:rsid w:val="00CB3B2D"/>
    <w:rsid w:val="00CC0549"/>
    <w:rsid w:val="00CC5DF9"/>
    <w:rsid w:val="00CC7A5D"/>
    <w:rsid w:val="00CD7389"/>
    <w:rsid w:val="00CE100F"/>
    <w:rsid w:val="00CF0F47"/>
    <w:rsid w:val="00CF3A1A"/>
    <w:rsid w:val="00CF62AB"/>
    <w:rsid w:val="00D03D67"/>
    <w:rsid w:val="00D05D35"/>
    <w:rsid w:val="00D1137E"/>
    <w:rsid w:val="00D157E0"/>
    <w:rsid w:val="00D16B3D"/>
    <w:rsid w:val="00D20F13"/>
    <w:rsid w:val="00D36F39"/>
    <w:rsid w:val="00D4090E"/>
    <w:rsid w:val="00D42481"/>
    <w:rsid w:val="00D46F35"/>
    <w:rsid w:val="00D6208D"/>
    <w:rsid w:val="00D709D2"/>
    <w:rsid w:val="00D7665D"/>
    <w:rsid w:val="00D807D9"/>
    <w:rsid w:val="00D811AF"/>
    <w:rsid w:val="00D9689D"/>
    <w:rsid w:val="00DB0DF7"/>
    <w:rsid w:val="00DB7B17"/>
    <w:rsid w:val="00DD5185"/>
    <w:rsid w:val="00DD56C1"/>
    <w:rsid w:val="00DE155E"/>
    <w:rsid w:val="00DE2A4F"/>
    <w:rsid w:val="00DF1F96"/>
    <w:rsid w:val="00DF385D"/>
    <w:rsid w:val="00DF6881"/>
    <w:rsid w:val="00E02650"/>
    <w:rsid w:val="00E33AE9"/>
    <w:rsid w:val="00E5002B"/>
    <w:rsid w:val="00E654E1"/>
    <w:rsid w:val="00E65767"/>
    <w:rsid w:val="00E72372"/>
    <w:rsid w:val="00EA0B46"/>
    <w:rsid w:val="00EC1045"/>
    <w:rsid w:val="00EC642B"/>
    <w:rsid w:val="00EC7EA6"/>
    <w:rsid w:val="00ED0500"/>
    <w:rsid w:val="00ED10C1"/>
    <w:rsid w:val="00EE0E0A"/>
    <w:rsid w:val="00EE4A03"/>
    <w:rsid w:val="00EE6758"/>
    <w:rsid w:val="00F02EF4"/>
    <w:rsid w:val="00F10138"/>
    <w:rsid w:val="00F11B42"/>
    <w:rsid w:val="00F17E4C"/>
    <w:rsid w:val="00F319C0"/>
    <w:rsid w:val="00F407C5"/>
    <w:rsid w:val="00F415C2"/>
    <w:rsid w:val="00F433EC"/>
    <w:rsid w:val="00F51697"/>
    <w:rsid w:val="00F56198"/>
    <w:rsid w:val="00F633DE"/>
    <w:rsid w:val="00F712EC"/>
    <w:rsid w:val="00F72C9A"/>
    <w:rsid w:val="00F7687A"/>
    <w:rsid w:val="00F906C4"/>
    <w:rsid w:val="00F90885"/>
    <w:rsid w:val="00FA5C14"/>
    <w:rsid w:val="00FC1E0B"/>
    <w:rsid w:val="00FC419C"/>
    <w:rsid w:val="00FC43CC"/>
    <w:rsid w:val="00FC462C"/>
    <w:rsid w:val="00FE10D9"/>
    <w:rsid w:val="00FE37A6"/>
    <w:rsid w:val="00FF2084"/>
    <w:rsid w:val="00FF5BEE"/>
    <w:rsid w:val="01AF4469"/>
    <w:rsid w:val="01C56E3C"/>
    <w:rsid w:val="024D7736"/>
    <w:rsid w:val="060C289B"/>
    <w:rsid w:val="06A30EEC"/>
    <w:rsid w:val="07E74C4E"/>
    <w:rsid w:val="0A063D19"/>
    <w:rsid w:val="0ABE1EF4"/>
    <w:rsid w:val="0C6E5BA9"/>
    <w:rsid w:val="0E590CCD"/>
    <w:rsid w:val="0F9963FA"/>
    <w:rsid w:val="1002643A"/>
    <w:rsid w:val="10155D62"/>
    <w:rsid w:val="102842A2"/>
    <w:rsid w:val="13464EE1"/>
    <w:rsid w:val="134D4D33"/>
    <w:rsid w:val="13AB3C1C"/>
    <w:rsid w:val="166F6C81"/>
    <w:rsid w:val="169B3779"/>
    <w:rsid w:val="177105A6"/>
    <w:rsid w:val="17C77028"/>
    <w:rsid w:val="18F72EA2"/>
    <w:rsid w:val="192A78E6"/>
    <w:rsid w:val="198D6EBC"/>
    <w:rsid w:val="19C86263"/>
    <w:rsid w:val="1B503A5B"/>
    <w:rsid w:val="1C6D465D"/>
    <w:rsid w:val="1CD0301F"/>
    <w:rsid w:val="1E216C91"/>
    <w:rsid w:val="1F97561F"/>
    <w:rsid w:val="1FE20590"/>
    <w:rsid w:val="1FFB1A90"/>
    <w:rsid w:val="21D960A5"/>
    <w:rsid w:val="22955ECA"/>
    <w:rsid w:val="253C6B38"/>
    <w:rsid w:val="2555560C"/>
    <w:rsid w:val="26650054"/>
    <w:rsid w:val="26D966CD"/>
    <w:rsid w:val="2A462841"/>
    <w:rsid w:val="2AAC0FA3"/>
    <w:rsid w:val="2B1A3973"/>
    <w:rsid w:val="2B4B4027"/>
    <w:rsid w:val="2B5D49D8"/>
    <w:rsid w:val="2B711E0A"/>
    <w:rsid w:val="2DFE3194"/>
    <w:rsid w:val="2E0F250A"/>
    <w:rsid w:val="2E41121C"/>
    <w:rsid w:val="31346A14"/>
    <w:rsid w:val="364244D1"/>
    <w:rsid w:val="36E43D6F"/>
    <w:rsid w:val="3733076E"/>
    <w:rsid w:val="37811908"/>
    <w:rsid w:val="386D1501"/>
    <w:rsid w:val="38F51D58"/>
    <w:rsid w:val="39430F82"/>
    <w:rsid w:val="39D5137E"/>
    <w:rsid w:val="39F274CD"/>
    <w:rsid w:val="39FE3783"/>
    <w:rsid w:val="3AA923B1"/>
    <w:rsid w:val="3C047A7C"/>
    <w:rsid w:val="3C501DD9"/>
    <w:rsid w:val="3EC2137E"/>
    <w:rsid w:val="40646B41"/>
    <w:rsid w:val="42081B64"/>
    <w:rsid w:val="4262603B"/>
    <w:rsid w:val="44BE0CB7"/>
    <w:rsid w:val="45447EC7"/>
    <w:rsid w:val="45D01ACF"/>
    <w:rsid w:val="470027F8"/>
    <w:rsid w:val="476C38BB"/>
    <w:rsid w:val="49E8343C"/>
    <w:rsid w:val="4C9F4084"/>
    <w:rsid w:val="4E551ADA"/>
    <w:rsid w:val="501F69A4"/>
    <w:rsid w:val="51ED7366"/>
    <w:rsid w:val="53FA7D1C"/>
    <w:rsid w:val="54E916BF"/>
    <w:rsid w:val="555618DD"/>
    <w:rsid w:val="5585290A"/>
    <w:rsid w:val="55AF2D2E"/>
    <w:rsid w:val="56AC72AE"/>
    <w:rsid w:val="57A12C10"/>
    <w:rsid w:val="57C069E3"/>
    <w:rsid w:val="583A1F52"/>
    <w:rsid w:val="58EA09D0"/>
    <w:rsid w:val="5B5B3C42"/>
    <w:rsid w:val="5B804E28"/>
    <w:rsid w:val="5BCC6DBA"/>
    <w:rsid w:val="5C044A9A"/>
    <w:rsid w:val="5C0A7344"/>
    <w:rsid w:val="5CF076EB"/>
    <w:rsid w:val="5E552987"/>
    <w:rsid w:val="5E685E29"/>
    <w:rsid w:val="60040180"/>
    <w:rsid w:val="602B7799"/>
    <w:rsid w:val="607E413E"/>
    <w:rsid w:val="61674CA1"/>
    <w:rsid w:val="68075A0B"/>
    <w:rsid w:val="68D66592"/>
    <w:rsid w:val="6AE105D1"/>
    <w:rsid w:val="6C8F798F"/>
    <w:rsid w:val="6E127086"/>
    <w:rsid w:val="6E3B1D7A"/>
    <w:rsid w:val="6EF70C67"/>
    <w:rsid w:val="6FB40120"/>
    <w:rsid w:val="72BB0A15"/>
    <w:rsid w:val="749136AE"/>
    <w:rsid w:val="749542AE"/>
    <w:rsid w:val="77641A92"/>
    <w:rsid w:val="7882507D"/>
    <w:rsid w:val="79C92B0B"/>
    <w:rsid w:val="7A39248D"/>
    <w:rsid w:val="7A58410E"/>
    <w:rsid w:val="7B3328C9"/>
    <w:rsid w:val="7B6D4128"/>
    <w:rsid w:val="7BAB03E0"/>
    <w:rsid w:val="7BD174F0"/>
    <w:rsid w:val="7D5F6E44"/>
    <w:rsid w:val="7E376D53"/>
    <w:rsid w:val="7EC0192B"/>
    <w:rsid w:val="7EE62600"/>
    <w:rsid w:val="7F83295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uiPriority="0" w:unhideWhenUsed="0" w:qFormat="1"/>
    <w:lsdException w:name="footer" w:semiHidden="0" w:uiPriority="0" w:unhideWhenUsed="0" w:qFormat="1"/>
    <w:lsdException w:name="caption" w:uiPriority="35" w:qFormat="1"/>
    <w:lsdException w:name="annotation reference"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semiHidden="0" w:qFormat="1"/>
    <w:lsdException w:name="Normal Table"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6BD"/>
    <w:pPr>
      <w:widowControl w:val="0"/>
      <w:jc w:val="both"/>
    </w:pPr>
    <w:rPr>
      <w:rFonts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B406BD"/>
    <w:pPr>
      <w:jc w:val="left"/>
    </w:pPr>
  </w:style>
  <w:style w:type="paragraph" w:styleId="a4">
    <w:name w:val="Balloon Text"/>
    <w:basedOn w:val="a"/>
    <w:link w:val="Char0"/>
    <w:uiPriority w:val="99"/>
    <w:semiHidden/>
    <w:unhideWhenUsed/>
    <w:qFormat/>
    <w:rsid w:val="00B406BD"/>
    <w:rPr>
      <w:sz w:val="18"/>
      <w:szCs w:val="18"/>
    </w:rPr>
  </w:style>
  <w:style w:type="paragraph" w:styleId="a5">
    <w:name w:val="footer"/>
    <w:basedOn w:val="a"/>
    <w:link w:val="Char1"/>
    <w:qFormat/>
    <w:rsid w:val="00B406BD"/>
    <w:pPr>
      <w:tabs>
        <w:tab w:val="center" w:pos="4153"/>
        <w:tab w:val="right" w:pos="8306"/>
      </w:tabs>
      <w:snapToGrid w:val="0"/>
      <w:jc w:val="left"/>
    </w:pPr>
    <w:rPr>
      <w:sz w:val="18"/>
      <w:szCs w:val="18"/>
    </w:rPr>
  </w:style>
  <w:style w:type="paragraph" w:styleId="a6">
    <w:name w:val="header"/>
    <w:basedOn w:val="a"/>
    <w:link w:val="Char2"/>
    <w:qFormat/>
    <w:rsid w:val="00B406BD"/>
    <w:pPr>
      <w:pBdr>
        <w:bottom w:val="single" w:sz="6" w:space="1" w:color="auto"/>
      </w:pBdr>
      <w:tabs>
        <w:tab w:val="center" w:pos="4153"/>
        <w:tab w:val="right" w:pos="8306"/>
      </w:tabs>
      <w:snapToGrid w:val="0"/>
      <w:jc w:val="center"/>
    </w:pPr>
    <w:rPr>
      <w:rFonts w:eastAsia="宋体"/>
      <w:sz w:val="18"/>
      <w:szCs w:val="18"/>
    </w:rPr>
  </w:style>
  <w:style w:type="paragraph" w:styleId="a7">
    <w:name w:val="Normal (Web)"/>
    <w:basedOn w:val="a"/>
    <w:uiPriority w:val="99"/>
    <w:unhideWhenUsed/>
    <w:qFormat/>
    <w:rsid w:val="00B406BD"/>
    <w:pPr>
      <w:widowControl/>
      <w:spacing w:before="100" w:beforeAutospacing="1" w:after="100" w:afterAutospacing="1"/>
      <w:jc w:val="left"/>
    </w:pPr>
    <w:rPr>
      <w:rFonts w:ascii="宋体" w:eastAsia="宋体" w:hAnsi="宋体" w:cs="宋体"/>
      <w:kern w:val="0"/>
      <w:sz w:val="24"/>
    </w:rPr>
  </w:style>
  <w:style w:type="paragraph" w:styleId="a8">
    <w:name w:val="annotation subject"/>
    <w:basedOn w:val="a3"/>
    <w:next w:val="a3"/>
    <w:link w:val="Char3"/>
    <w:uiPriority w:val="99"/>
    <w:semiHidden/>
    <w:unhideWhenUsed/>
    <w:qFormat/>
    <w:rsid w:val="00B406BD"/>
    <w:rPr>
      <w:b/>
      <w:bCs/>
    </w:rPr>
  </w:style>
  <w:style w:type="character" w:styleId="a9">
    <w:name w:val="Strong"/>
    <w:basedOn w:val="a0"/>
    <w:qFormat/>
    <w:rsid w:val="00B406BD"/>
    <w:rPr>
      <w:b/>
    </w:rPr>
  </w:style>
  <w:style w:type="character" w:styleId="aa">
    <w:name w:val="page number"/>
    <w:basedOn w:val="a0"/>
    <w:qFormat/>
    <w:rsid w:val="00B406BD"/>
  </w:style>
  <w:style w:type="character" w:styleId="ab">
    <w:name w:val="annotation reference"/>
    <w:basedOn w:val="a0"/>
    <w:uiPriority w:val="99"/>
    <w:semiHidden/>
    <w:unhideWhenUsed/>
    <w:qFormat/>
    <w:rsid w:val="00B406BD"/>
    <w:rPr>
      <w:sz w:val="21"/>
      <w:szCs w:val="21"/>
    </w:rPr>
  </w:style>
  <w:style w:type="character" w:customStyle="1" w:styleId="Char2">
    <w:name w:val="页眉 Char"/>
    <w:basedOn w:val="a0"/>
    <w:link w:val="a6"/>
    <w:qFormat/>
    <w:rsid w:val="00B406BD"/>
    <w:rPr>
      <w:rFonts w:ascii="Times New Roman" w:eastAsia="宋体" w:hAnsi="Times New Roman" w:cs="Times New Roman"/>
      <w:sz w:val="18"/>
      <w:szCs w:val="18"/>
    </w:rPr>
  </w:style>
  <w:style w:type="character" w:customStyle="1" w:styleId="Char1">
    <w:name w:val="页脚 Char"/>
    <w:basedOn w:val="a0"/>
    <w:link w:val="a5"/>
    <w:qFormat/>
    <w:rsid w:val="00B406BD"/>
    <w:rPr>
      <w:rFonts w:ascii="Times New Roman" w:eastAsia="仿宋_GB2312" w:hAnsi="Times New Roman" w:cs="Times New Roman"/>
      <w:sz w:val="18"/>
      <w:szCs w:val="18"/>
    </w:rPr>
  </w:style>
  <w:style w:type="paragraph" w:styleId="ac">
    <w:name w:val="List Paragraph"/>
    <w:basedOn w:val="a"/>
    <w:uiPriority w:val="34"/>
    <w:qFormat/>
    <w:rsid w:val="00B406BD"/>
    <w:pPr>
      <w:ind w:firstLineChars="200" w:firstLine="420"/>
    </w:pPr>
  </w:style>
  <w:style w:type="character" w:customStyle="1" w:styleId="Char0">
    <w:name w:val="批注框文本 Char"/>
    <w:basedOn w:val="a0"/>
    <w:link w:val="a4"/>
    <w:uiPriority w:val="99"/>
    <w:semiHidden/>
    <w:qFormat/>
    <w:rsid w:val="00B406BD"/>
    <w:rPr>
      <w:rFonts w:ascii="Times New Roman" w:eastAsia="仿宋_GB2312" w:hAnsi="Times New Roman" w:cs="Times New Roman"/>
      <w:sz w:val="18"/>
      <w:szCs w:val="18"/>
    </w:rPr>
  </w:style>
  <w:style w:type="character" w:customStyle="1" w:styleId="Char">
    <w:name w:val="批注文字 Char"/>
    <w:basedOn w:val="a0"/>
    <w:link w:val="a3"/>
    <w:uiPriority w:val="99"/>
    <w:semiHidden/>
    <w:qFormat/>
    <w:rsid w:val="00B406BD"/>
    <w:rPr>
      <w:rFonts w:ascii="Times New Roman" w:eastAsia="仿宋_GB2312" w:hAnsi="Times New Roman" w:cs="Times New Roman"/>
      <w:kern w:val="2"/>
      <w:sz w:val="32"/>
      <w:szCs w:val="24"/>
    </w:rPr>
  </w:style>
  <w:style w:type="character" w:customStyle="1" w:styleId="Char3">
    <w:name w:val="批注主题 Char"/>
    <w:basedOn w:val="Char"/>
    <w:link w:val="a8"/>
    <w:uiPriority w:val="99"/>
    <w:semiHidden/>
    <w:qFormat/>
    <w:rsid w:val="00B406BD"/>
    <w:rPr>
      <w:rFonts w:ascii="Times New Roman" w:eastAsia="仿宋_GB2312" w:hAnsi="Times New Roman" w:cs="Times New Roman"/>
      <w:b/>
      <w:bCs/>
      <w:kern w:val="2"/>
      <w:sz w:val="32"/>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8488D51-0874-4EB0-B655-FC9636832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Pages>
  <Words>475</Words>
  <Characters>2710</Characters>
  <Application>Microsoft Office Word</Application>
  <DocSecurity>0</DocSecurity>
  <Lines>22</Lines>
  <Paragraphs>6</Paragraphs>
  <ScaleCrop>false</ScaleCrop>
  <Company/>
  <LinksUpToDate>false</LinksUpToDate>
  <CharactersWithSpaces>3179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dell3</dc:creator>
  <cp:lastModifiedBy>xbany</cp:lastModifiedBy>
  <cp:revision>233</cp:revision>
  <cp:lastPrinted>2020-03-16T05:22:00Z</cp:lastPrinted>
  <dcterms:created xsi:type="dcterms:W3CDTF">2019-05-19T11:29:00Z</dcterms:created>
  <dcterms:modified xsi:type="dcterms:W3CDTF">2023-05-09T09:10:00Z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