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C7" w:rsidRDefault="00FB7822">
      <w:pPr>
        <w:jc w:val="center"/>
        <w:rPr>
          <w:rFonts w:asciiTheme="minorEastAsia" w:hAnsiTheme="minorEastAsia"/>
          <w:b/>
          <w:sz w:val="44"/>
          <w:szCs w:val="44"/>
        </w:rPr>
      </w:pPr>
      <w:r>
        <w:rPr>
          <w:rFonts w:asciiTheme="minorEastAsia" w:hAnsiTheme="minorEastAsia" w:hint="eastAsia"/>
          <w:b/>
          <w:sz w:val="44"/>
          <w:szCs w:val="44"/>
        </w:rPr>
        <w:t>杭州市滨江区村集体经济组织大额</w:t>
      </w:r>
    </w:p>
    <w:p w:rsidR="00CF0AC7" w:rsidRDefault="00FB7822">
      <w:pPr>
        <w:jc w:val="center"/>
        <w:rPr>
          <w:rFonts w:asciiTheme="minorEastAsia" w:hAnsiTheme="minorEastAsia"/>
          <w:b/>
          <w:sz w:val="44"/>
          <w:szCs w:val="44"/>
        </w:rPr>
      </w:pPr>
      <w:r>
        <w:rPr>
          <w:rFonts w:asciiTheme="minorEastAsia" w:hAnsiTheme="minorEastAsia" w:hint="eastAsia"/>
          <w:b/>
          <w:sz w:val="44"/>
          <w:szCs w:val="44"/>
        </w:rPr>
        <w:t>资金竞争性存放管理办法</w:t>
      </w:r>
      <w:r>
        <w:rPr>
          <w:rFonts w:asciiTheme="minorEastAsia" w:hAnsiTheme="minorEastAsia" w:hint="eastAsia"/>
          <w:b/>
          <w:sz w:val="44"/>
          <w:szCs w:val="44"/>
        </w:rPr>
        <w:t>(</w:t>
      </w:r>
      <w:r>
        <w:rPr>
          <w:rFonts w:asciiTheme="minorEastAsia" w:hAnsiTheme="minorEastAsia" w:hint="eastAsia"/>
          <w:b/>
          <w:sz w:val="44"/>
          <w:szCs w:val="44"/>
        </w:rPr>
        <w:t>试行</w:t>
      </w:r>
      <w:r>
        <w:rPr>
          <w:rFonts w:asciiTheme="minorEastAsia" w:hAnsiTheme="minorEastAsia" w:hint="eastAsia"/>
          <w:b/>
          <w:sz w:val="44"/>
          <w:szCs w:val="44"/>
        </w:rPr>
        <w:t>)</w:t>
      </w:r>
    </w:p>
    <w:p w:rsidR="00CF0AC7" w:rsidRDefault="00FB7822">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（征求意见稿）</w:t>
      </w:r>
    </w:p>
    <w:p w:rsidR="00CF0AC7" w:rsidRDefault="00FB7822">
      <w:pPr>
        <w:spacing w:line="600" w:lineRule="exact"/>
        <w:jc w:val="center"/>
        <w:rPr>
          <w:rFonts w:ascii="黑体" w:eastAsia="黑体" w:hAnsi="黑体"/>
          <w:sz w:val="30"/>
          <w:szCs w:val="30"/>
        </w:rPr>
      </w:pPr>
      <w:r>
        <w:rPr>
          <w:rFonts w:ascii="黑体" w:eastAsia="黑体" w:hAnsi="黑体" w:hint="eastAsia"/>
          <w:sz w:val="30"/>
          <w:szCs w:val="30"/>
        </w:rPr>
        <w:t>第一章</w:t>
      </w:r>
      <w:r>
        <w:rPr>
          <w:rFonts w:ascii="黑体" w:eastAsia="黑体" w:hAnsi="黑体" w:hint="eastAsia"/>
          <w:sz w:val="30"/>
          <w:szCs w:val="30"/>
        </w:rPr>
        <w:t xml:space="preserve">  </w:t>
      </w:r>
      <w:r>
        <w:rPr>
          <w:rFonts w:ascii="黑体" w:eastAsia="黑体" w:hAnsi="黑体" w:hint="eastAsia"/>
          <w:sz w:val="30"/>
          <w:szCs w:val="30"/>
        </w:rPr>
        <w:t>总则</w:t>
      </w:r>
    </w:p>
    <w:p w:rsidR="00CF0AC7" w:rsidRDefault="00FB7822">
      <w:pPr>
        <w:spacing w:line="600" w:lineRule="exact"/>
        <w:ind w:firstLineChars="200" w:firstLine="600"/>
        <w:rPr>
          <w:rFonts w:asciiTheme="minorEastAsia" w:hAnsiTheme="minorEastAsia"/>
          <w:sz w:val="30"/>
          <w:szCs w:val="30"/>
        </w:rPr>
      </w:pPr>
      <w:r>
        <w:rPr>
          <w:rFonts w:asciiTheme="minorEastAsia" w:hAnsiTheme="minorEastAsia" w:hint="eastAsia"/>
          <w:sz w:val="30"/>
          <w:szCs w:val="30"/>
        </w:rPr>
        <w:t>第一条</w:t>
      </w:r>
      <w:r>
        <w:rPr>
          <w:rFonts w:asciiTheme="minorEastAsia" w:hAnsiTheme="minorEastAsia" w:hint="eastAsia"/>
          <w:sz w:val="30"/>
          <w:szCs w:val="30"/>
        </w:rPr>
        <w:t xml:space="preserve">  </w:t>
      </w:r>
      <w:r>
        <w:rPr>
          <w:rFonts w:asciiTheme="minorEastAsia" w:hAnsiTheme="minorEastAsia" w:hint="eastAsia"/>
          <w:sz w:val="30"/>
          <w:szCs w:val="30"/>
        </w:rPr>
        <w:t>为规范我区村集体经济组织大额资金存放管理，盘活存量资金，提高资金效益，有效防范发生利益冲突和利益输送，根据《浙江省农村集体资产管理条例》、《滨江区撤村建居社区股社分离工作实施方案》、《关于加强滨江区股份经济合作社规范化建设的通知》和《关于滨江区全面推进股份经济合作社会计出纳双代理工作的通知》等有关规定，结合我区实际，特制定本办法。</w:t>
      </w:r>
    </w:p>
    <w:p w:rsidR="00CF0AC7" w:rsidRDefault="00FB7822">
      <w:pPr>
        <w:spacing w:line="600" w:lineRule="exact"/>
        <w:ind w:firstLineChars="200" w:firstLine="600"/>
        <w:rPr>
          <w:rFonts w:asciiTheme="minorEastAsia" w:hAnsiTheme="minorEastAsia"/>
          <w:sz w:val="30"/>
          <w:szCs w:val="30"/>
        </w:rPr>
      </w:pPr>
      <w:r>
        <w:rPr>
          <w:rFonts w:asciiTheme="minorEastAsia" w:hAnsiTheme="minorEastAsia" w:hint="eastAsia"/>
          <w:sz w:val="30"/>
          <w:szCs w:val="30"/>
        </w:rPr>
        <w:t>第二条</w:t>
      </w:r>
      <w:r>
        <w:rPr>
          <w:rFonts w:asciiTheme="minorEastAsia" w:hAnsiTheme="minorEastAsia" w:hint="eastAsia"/>
          <w:sz w:val="30"/>
          <w:szCs w:val="30"/>
        </w:rPr>
        <w:t xml:space="preserve">  </w:t>
      </w:r>
      <w:r>
        <w:rPr>
          <w:rFonts w:asciiTheme="minorEastAsia" w:hAnsiTheme="minorEastAsia" w:hint="eastAsia"/>
          <w:sz w:val="30"/>
          <w:szCs w:val="30"/>
        </w:rPr>
        <w:t>本办法适用于滨江区</w:t>
      </w:r>
      <w:r>
        <w:rPr>
          <w:rFonts w:asciiTheme="minorEastAsia" w:hAnsiTheme="minorEastAsia" w:hint="eastAsia"/>
          <w:sz w:val="30"/>
          <w:szCs w:val="30"/>
        </w:rPr>
        <w:t>29</w:t>
      </w:r>
      <w:r>
        <w:rPr>
          <w:rFonts w:asciiTheme="minorEastAsia" w:hAnsiTheme="minorEastAsia" w:hint="eastAsia"/>
          <w:sz w:val="30"/>
          <w:szCs w:val="30"/>
        </w:rPr>
        <w:t>个村集体经济组织，不包括挂靠在集体经济组织的社会团体、社区居委会存款资金。法律法规另有规定的从其规定。</w:t>
      </w:r>
    </w:p>
    <w:p w:rsidR="00CF0AC7" w:rsidRDefault="00FB7822">
      <w:pPr>
        <w:spacing w:line="600" w:lineRule="exact"/>
        <w:ind w:firstLineChars="200" w:firstLine="600"/>
        <w:rPr>
          <w:rFonts w:asciiTheme="minorEastAsia" w:hAnsiTheme="minorEastAsia"/>
          <w:sz w:val="30"/>
          <w:szCs w:val="30"/>
        </w:rPr>
      </w:pPr>
      <w:r>
        <w:rPr>
          <w:rFonts w:asciiTheme="minorEastAsia" w:hAnsiTheme="minorEastAsia" w:hint="eastAsia"/>
          <w:sz w:val="30"/>
          <w:szCs w:val="30"/>
        </w:rPr>
        <w:t>第三条</w:t>
      </w:r>
      <w:r>
        <w:rPr>
          <w:rFonts w:asciiTheme="minorEastAsia" w:hAnsiTheme="minorEastAsia" w:hint="eastAsia"/>
          <w:sz w:val="30"/>
          <w:szCs w:val="30"/>
        </w:rPr>
        <w:t xml:space="preserve">  </w:t>
      </w:r>
      <w:r>
        <w:rPr>
          <w:rFonts w:asciiTheme="minorEastAsia" w:hAnsiTheme="minorEastAsia" w:hint="eastAsia"/>
          <w:sz w:val="30"/>
          <w:szCs w:val="30"/>
        </w:rPr>
        <w:t>本办法所指的村级集体大额资金是指全区</w:t>
      </w:r>
      <w:r>
        <w:rPr>
          <w:rFonts w:asciiTheme="minorEastAsia" w:hAnsiTheme="minorEastAsia" w:hint="eastAsia"/>
          <w:sz w:val="30"/>
          <w:szCs w:val="30"/>
        </w:rPr>
        <w:t>29</w:t>
      </w:r>
      <w:r>
        <w:rPr>
          <w:rFonts w:asciiTheme="minorEastAsia" w:hAnsiTheme="minorEastAsia" w:hint="eastAsia"/>
          <w:sz w:val="30"/>
          <w:szCs w:val="30"/>
        </w:rPr>
        <w:t>个村集体经济组织的集体资金以及其下属的组级集体资金。</w:t>
      </w:r>
    </w:p>
    <w:p w:rsidR="00CF0AC7" w:rsidRDefault="00FB7822">
      <w:pPr>
        <w:spacing w:line="600" w:lineRule="exact"/>
        <w:ind w:firstLineChars="200" w:firstLine="600"/>
        <w:rPr>
          <w:rFonts w:asciiTheme="minorEastAsia" w:hAnsiTheme="minorEastAsia"/>
          <w:sz w:val="30"/>
          <w:szCs w:val="30"/>
        </w:rPr>
      </w:pPr>
      <w:r>
        <w:rPr>
          <w:rFonts w:asciiTheme="minorEastAsia" w:hAnsiTheme="minorEastAsia" w:hint="eastAsia"/>
          <w:sz w:val="30"/>
          <w:szCs w:val="30"/>
        </w:rPr>
        <w:t>第四条</w:t>
      </w:r>
      <w:r>
        <w:rPr>
          <w:rFonts w:asciiTheme="minorEastAsia" w:hAnsiTheme="minorEastAsia" w:hint="eastAsia"/>
          <w:sz w:val="30"/>
          <w:szCs w:val="30"/>
        </w:rPr>
        <w:t xml:space="preserve">  </w:t>
      </w:r>
      <w:r>
        <w:rPr>
          <w:rFonts w:asciiTheme="minorEastAsia" w:hAnsiTheme="minorEastAsia" w:hint="eastAsia"/>
          <w:sz w:val="30"/>
          <w:szCs w:val="30"/>
        </w:rPr>
        <w:t>本办法所指的竞争性存放是指通过公开招标方式选择村级集体大额资金存放银行的管理活动。</w:t>
      </w:r>
    </w:p>
    <w:p w:rsidR="00CF0AC7" w:rsidRDefault="00FB7822">
      <w:pPr>
        <w:spacing w:line="600" w:lineRule="exact"/>
        <w:jc w:val="center"/>
        <w:rPr>
          <w:rFonts w:ascii="黑体" w:eastAsia="黑体" w:hAnsi="黑体"/>
          <w:sz w:val="30"/>
          <w:szCs w:val="30"/>
        </w:rPr>
      </w:pPr>
      <w:r>
        <w:rPr>
          <w:rFonts w:ascii="黑体" w:eastAsia="黑体" w:hAnsi="黑体" w:hint="eastAsia"/>
          <w:sz w:val="30"/>
          <w:szCs w:val="30"/>
        </w:rPr>
        <w:t>第二章</w:t>
      </w:r>
      <w:r>
        <w:rPr>
          <w:rFonts w:ascii="黑体" w:eastAsia="黑体" w:hAnsi="黑体" w:hint="eastAsia"/>
          <w:sz w:val="30"/>
          <w:szCs w:val="30"/>
        </w:rPr>
        <w:t xml:space="preserve">  </w:t>
      </w:r>
      <w:r>
        <w:rPr>
          <w:rFonts w:ascii="黑体" w:eastAsia="黑体" w:hAnsi="黑体" w:hint="eastAsia"/>
          <w:sz w:val="30"/>
          <w:szCs w:val="30"/>
        </w:rPr>
        <w:t>竞争性存放</w:t>
      </w:r>
    </w:p>
    <w:p w:rsidR="00CF0AC7" w:rsidRDefault="00FB7822">
      <w:pPr>
        <w:spacing w:line="600" w:lineRule="exact"/>
        <w:ind w:firstLineChars="200" w:firstLine="600"/>
        <w:rPr>
          <w:rFonts w:asciiTheme="minorEastAsia" w:hAnsiTheme="minorEastAsia"/>
          <w:sz w:val="30"/>
          <w:szCs w:val="30"/>
        </w:rPr>
      </w:pPr>
      <w:r>
        <w:rPr>
          <w:rFonts w:asciiTheme="minorEastAsia" w:hAnsiTheme="minorEastAsia" w:hint="eastAsia"/>
          <w:sz w:val="30"/>
          <w:szCs w:val="30"/>
        </w:rPr>
        <w:t>第五条</w:t>
      </w:r>
      <w:r>
        <w:rPr>
          <w:rFonts w:asciiTheme="minorEastAsia" w:hAnsiTheme="minorEastAsia" w:hint="eastAsia"/>
          <w:sz w:val="30"/>
          <w:szCs w:val="30"/>
        </w:rPr>
        <w:t xml:space="preserve">  </w:t>
      </w:r>
      <w:r>
        <w:rPr>
          <w:rFonts w:asciiTheme="minorEastAsia" w:hAnsiTheme="minorEastAsia" w:hint="eastAsia"/>
          <w:sz w:val="30"/>
          <w:szCs w:val="30"/>
        </w:rPr>
        <w:t>村级集体大额资金竞争性存放应遵循以下原则：</w:t>
      </w:r>
    </w:p>
    <w:p w:rsidR="00CF0AC7" w:rsidRDefault="00FB7822">
      <w:pPr>
        <w:spacing w:line="600" w:lineRule="exact"/>
        <w:ind w:firstLineChars="200" w:firstLine="600"/>
        <w:rPr>
          <w:rFonts w:ascii="宋体" w:hAnsi="宋体"/>
          <w:sz w:val="30"/>
          <w:szCs w:val="30"/>
        </w:rPr>
      </w:pPr>
      <w:r>
        <w:rPr>
          <w:rFonts w:ascii="宋体" w:hAnsi="宋体" w:hint="eastAsia"/>
          <w:sz w:val="30"/>
          <w:szCs w:val="30"/>
        </w:rPr>
        <w:t>(</w:t>
      </w:r>
      <w:proofErr w:type="gramStart"/>
      <w:r>
        <w:rPr>
          <w:rFonts w:ascii="宋体" w:hAnsi="宋体" w:hint="eastAsia"/>
          <w:sz w:val="30"/>
          <w:szCs w:val="30"/>
        </w:rPr>
        <w:t>一</w:t>
      </w:r>
      <w:proofErr w:type="gramEnd"/>
      <w:r>
        <w:rPr>
          <w:rFonts w:ascii="宋体" w:hAnsi="宋体" w:hint="eastAsia"/>
          <w:sz w:val="30"/>
          <w:szCs w:val="30"/>
        </w:rPr>
        <w:t>)</w:t>
      </w:r>
      <w:r>
        <w:rPr>
          <w:rFonts w:ascii="宋体" w:hAnsi="宋体" w:hint="eastAsia"/>
          <w:sz w:val="30"/>
          <w:szCs w:val="30"/>
        </w:rPr>
        <w:t>公开、公平、公正原则。村级集体大额资金竞争性存放应公开、公平、公正进行，防范廉政风险。</w:t>
      </w:r>
    </w:p>
    <w:p w:rsidR="00CF0AC7" w:rsidRDefault="00FB7822">
      <w:pPr>
        <w:spacing w:line="600" w:lineRule="exact"/>
        <w:ind w:firstLineChars="200" w:firstLine="600"/>
        <w:rPr>
          <w:rFonts w:ascii="宋体" w:hAnsi="宋体"/>
          <w:sz w:val="30"/>
          <w:szCs w:val="30"/>
        </w:rPr>
      </w:pPr>
      <w:r>
        <w:rPr>
          <w:rFonts w:ascii="宋体" w:hAnsi="宋体" w:hint="eastAsia"/>
          <w:sz w:val="30"/>
          <w:szCs w:val="30"/>
        </w:rPr>
        <w:t>(</w:t>
      </w:r>
      <w:r>
        <w:rPr>
          <w:rFonts w:ascii="宋体" w:hAnsi="宋体" w:hint="eastAsia"/>
          <w:sz w:val="30"/>
          <w:szCs w:val="30"/>
        </w:rPr>
        <w:t>二</w:t>
      </w:r>
      <w:r>
        <w:rPr>
          <w:rFonts w:ascii="宋体" w:hAnsi="宋体" w:hint="eastAsia"/>
          <w:sz w:val="30"/>
          <w:szCs w:val="30"/>
        </w:rPr>
        <w:t>)</w:t>
      </w:r>
      <w:r>
        <w:rPr>
          <w:rFonts w:ascii="宋体" w:hAnsi="宋体" w:hint="eastAsia"/>
          <w:sz w:val="30"/>
          <w:szCs w:val="30"/>
        </w:rPr>
        <w:t>安全性、流动</w:t>
      </w:r>
      <w:r>
        <w:rPr>
          <w:rFonts w:ascii="宋体" w:hAnsi="宋体" w:hint="eastAsia"/>
          <w:sz w:val="30"/>
          <w:szCs w:val="30"/>
        </w:rPr>
        <w:t>性、收益性相统一原则。在确保村级集体资金安全和日常支付流动性需求的前提下，实现村级集体资金的</w:t>
      </w:r>
      <w:r>
        <w:rPr>
          <w:rFonts w:ascii="宋体" w:hAnsi="宋体" w:hint="eastAsia"/>
          <w:sz w:val="30"/>
          <w:szCs w:val="30"/>
        </w:rPr>
        <w:lastRenderedPageBreak/>
        <w:t>保值增值。</w:t>
      </w:r>
    </w:p>
    <w:p w:rsidR="00CF0AC7" w:rsidRDefault="00FB7822">
      <w:pPr>
        <w:spacing w:line="600" w:lineRule="exact"/>
        <w:ind w:firstLineChars="200" w:firstLine="600"/>
        <w:rPr>
          <w:rFonts w:asciiTheme="minorEastAsia" w:hAnsiTheme="minorEastAsia"/>
          <w:color w:val="FF0000"/>
          <w:sz w:val="30"/>
          <w:szCs w:val="30"/>
        </w:rPr>
      </w:pPr>
      <w:r>
        <w:rPr>
          <w:rFonts w:asciiTheme="minorEastAsia" w:hAnsiTheme="minorEastAsia" w:hint="eastAsia"/>
          <w:sz w:val="30"/>
          <w:szCs w:val="30"/>
        </w:rPr>
        <w:t>第六条</w:t>
      </w:r>
      <w:r>
        <w:rPr>
          <w:rFonts w:asciiTheme="minorEastAsia" w:hAnsiTheme="minorEastAsia" w:hint="eastAsia"/>
          <w:sz w:val="30"/>
          <w:szCs w:val="30"/>
        </w:rPr>
        <w:t xml:space="preserve">  </w:t>
      </w:r>
      <w:r>
        <w:rPr>
          <w:rFonts w:asciiTheme="minorEastAsia" w:hAnsiTheme="minorEastAsia" w:hint="eastAsia"/>
          <w:sz w:val="30"/>
          <w:szCs w:val="30"/>
        </w:rPr>
        <w:t>村级集体大额资金需要招标的商业</w:t>
      </w:r>
      <w:r>
        <w:rPr>
          <w:rFonts w:asciiTheme="minorEastAsia" w:hAnsiTheme="minorEastAsia"/>
          <w:sz w:val="30"/>
          <w:szCs w:val="30"/>
        </w:rPr>
        <w:t>银行定期存款</w:t>
      </w:r>
      <w:r>
        <w:rPr>
          <w:rFonts w:asciiTheme="minorEastAsia" w:hAnsiTheme="minorEastAsia" w:hint="eastAsia"/>
          <w:sz w:val="30"/>
          <w:szCs w:val="30"/>
        </w:rPr>
        <w:t>是指总金额在</w:t>
      </w:r>
      <w:r>
        <w:rPr>
          <w:rFonts w:asciiTheme="minorEastAsia" w:hAnsiTheme="minorEastAsia" w:hint="eastAsia"/>
          <w:sz w:val="30"/>
          <w:szCs w:val="30"/>
        </w:rPr>
        <w:t>50</w:t>
      </w:r>
      <w:r>
        <w:rPr>
          <w:rFonts w:asciiTheme="minorEastAsia" w:hAnsiTheme="minorEastAsia" w:hint="eastAsia"/>
          <w:sz w:val="30"/>
          <w:szCs w:val="30"/>
        </w:rPr>
        <w:t>万元（含）以上人民币的</w:t>
      </w:r>
      <w:r>
        <w:rPr>
          <w:rFonts w:asciiTheme="minorEastAsia" w:hAnsiTheme="minorEastAsia"/>
          <w:sz w:val="30"/>
          <w:szCs w:val="30"/>
        </w:rPr>
        <w:t>银行</w:t>
      </w:r>
      <w:r>
        <w:rPr>
          <w:rFonts w:asciiTheme="minorEastAsia" w:hAnsiTheme="minorEastAsia" w:hint="eastAsia"/>
          <w:sz w:val="30"/>
          <w:szCs w:val="30"/>
        </w:rPr>
        <w:t>存款。</w:t>
      </w:r>
    </w:p>
    <w:p w:rsidR="00CF0AC7" w:rsidRDefault="00FB7822">
      <w:pPr>
        <w:spacing w:line="600" w:lineRule="exact"/>
        <w:ind w:firstLineChars="200" w:firstLine="600"/>
        <w:rPr>
          <w:rFonts w:ascii="宋体" w:hAnsi="宋体" w:cs="宋体"/>
          <w:b/>
          <w:spacing w:val="-20"/>
          <w:sz w:val="30"/>
          <w:szCs w:val="30"/>
        </w:rPr>
      </w:pPr>
      <w:r>
        <w:rPr>
          <w:rFonts w:asciiTheme="minorEastAsia" w:hAnsiTheme="minorEastAsia" w:hint="eastAsia"/>
          <w:sz w:val="30"/>
          <w:szCs w:val="30"/>
        </w:rPr>
        <w:t>第七条</w:t>
      </w:r>
      <w:r>
        <w:rPr>
          <w:rFonts w:asciiTheme="minorEastAsia" w:hAnsiTheme="minorEastAsia" w:hint="eastAsia"/>
          <w:sz w:val="30"/>
          <w:szCs w:val="30"/>
        </w:rPr>
        <w:t xml:space="preserve">  </w:t>
      </w:r>
      <w:r>
        <w:rPr>
          <w:rFonts w:asciiTheme="minorEastAsia" w:hAnsiTheme="minorEastAsia" w:hint="eastAsia"/>
          <w:sz w:val="30"/>
          <w:szCs w:val="30"/>
        </w:rPr>
        <w:t>根据</w:t>
      </w:r>
      <w:r>
        <w:rPr>
          <w:rFonts w:ascii="宋体" w:hAnsi="宋体" w:hint="eastAsia"/>
          <w:sz w:val="30"/>
          <w:szCs w:val="30"/>
        </w:rPr>
        <w:t>《</w:t>
      </w:r>
      <w:r>
        <w:rPr>
          <w:rFonts w:ascii="宋体" w:hAnsi="宋体" w:cs="Arial" w:hint="eastAsia"/>
          <w:bCs/>
          <w:sz w:val="30"/>
          <w:szCs w:val="30"/>
        </w:rPr>
        <w:t>浙江省农村集体资产管理条例</w:t>
      </w:r>
      <w:r>
        <w:rPr>
          <w:rFonts w:ascii="宋体" w:hAnsi="宋体" w:hint="eastAsia"/>
          <w:sz w:val="30"/>
          <w:szCs w:val="30"/>
        </w:rPr>
        <w:t>》</w:t>
      </w:r>
      <w:r>
        <w:rPr>
          <w:rFonts w:ascii="宋体" w:hAnsi="宋体" w:cs="宋体" w:hint="eastAsia"/>
          <w:kern w:val="0"/>
          <w:sz w:val="30"/>
          <w:szCs w:val="30"/>
        </w:rPr>
        <w:t>等</w:t>
      </w:r>
      <w:r>
        <w:rPr>
          <w:rFonts w:ascii="宋体" w:hAnsi="宋体" w:hint="eastAsia"/>
          <w:sz w:val="30"/>
          <w:szCs w:val="30"/>
        </w:rPr>
        <w:t>有关规定</w:t>
      </w:r>
      <w:r>
        <w:rPr>
          <w:rFonts w:ascii="宋体" w:hAnsi="宋体" w:cs="宋体" w:hint="eastAsia"/>
          <w:kern w:val="0"/>
          <w:sz w:val="30"/>
          <w:szCs w:val="30"/>
        </w:rPr>
        <w:t>，村级</w:t>
      </w:r>
      <w:r>
        <w:rPr>
          <w:rFonts w:ascii="宋体" w:hAnsi="宋体" w:hint="eastAsia"/>
          <w:sz w:val="30"/>
          <w:szCs w:val="30"/>
        </w:rPr>
        <w:t>集体大额资金竞争性存放工作由村集体经济组织所属的街道办事处统一组织实施。</w:t>
      </w:r>
    </w:p>
    <w:p w:rsidR="00CF0AC7" w:rsidRDefault="00FB7822">
      <w:pPr>
        <w:spacing w:line="600" w:lineRule="exact"/>
        <w:ind w:firstLine="660"/>
        <w:rPr>
          <w:rFonts w:asciiTheme="minorEastAsia" w:hAnsiTheme="minorEastAsia"/>
          <w:sz w:val="30"/>
          <w:szCs w:val="30"/>
        </w:rPr>
      </w:pPr>
      <w:r>
        <w:rPr>
          <w:rFonts w:asciiTheme="minorEastAsia" w:hAnsiTheme="minorEastAsia" w:hint="eastAsia"/>
          <w:sz w:val="30"/>
          <w:szCs w:val="30"/>
        </w:rPr>
        <w:t>第八条</w:t>
      </w:r>
      <w:r>
        <w:rPr>
          <w:rFonts w:asciiTheme="minorEastAsia" w:hAnsiTheme="minorEastAsia" w:hint="eastAsia"/>
          <w:sz w:val="30"/>
          <w:szCs w:val="30"/>
        </w:rPr>
        <w:t xml:space="preserve"> </w:t>
      </w:r>
      <w:r>
        <w:rPr>
          <w:rFonts w:asciiTheme="minorEastAsia" w:hAnsiTheme="minorEastAsia" w:hint="eastAsia"/>
          <w:sz w:val="30"/>
          <w:szCs w:val="30"/>
        </w:rPr>
        <w:t>参与投标的银行应是在中华人民共和国境内依法设立的银行机构，并具备以下基本条件：</w:t>
      </w:r>
    </w:p>
    <w:p w:rsidR="00CF0AC7" w:rsidRDefault="00FB7822">
      <w:pPr>
        <w:spacing w:line="600" w:lineRule="exact"/>
        <w:ind w:firstLine="660"/>
        <w:rPr>
          <w:rFonts w:asciiTheme="minorEastAsia" w:hAnsiTheme="minorEastAsia"/>
          <w:sz w:val="30"/>
          <w:szCs w:val="30"/>
        </w:rPr>
      </w:pPr>
      <w:r>
        <w:rPr>
          <w:rFonts w:asciiTheme="minorEastAsia" w:hAnsiTheme="minorEastAsia" w:hint="eastAsia"/>
          <w:sz w:val="30"/>
          <w:szCs w:val="30"/>
        </w:rPr>
        <w:t>（一）在高新区（滨江）有分支机构、人行杭州中心支行上年度综合评价</w:t>
      </w:r>
      <w:r>
        <w:rPr>
          <w:rFonts w:asciiTheme="minorEastAsia" w:hAnsiTheme="minorEastAsia" w:hint="eastAsia"/>
          <w:sz w:val="30"/>
          <w:szCs w:val="30"/>
        </w:rPr>
        <w:t>B</w:t>
      </w:r>
      <w:r>
        <w:rPr>
          <w:rFonts w:asciiTheme="minorEastAsia" w:hAnsiTheme="minorEastAsia" w:hint="eastAsia"/>
          <w:sz w:val="30"/>
          <w:szCs w:val="30"/>
        </w:rPr>
        <w:t>级及以上、浙江银监局上年度监管评级</w:t>
      </w:r>
      <w:r>
        <w:rPr>
          <w:rFonts w:asciiTheme="minorEastAsia" w:hAnsiTheme="minorEastAsia" w:hint="eastAsia"/>
          <w:sz w:val="30"/>
          <w:szCs w:val="30"/>
        </w:rPr>
        <w:t>2</w:t>
      </w:r>
      <w:r>
        <w:rPr>
          <w:rFonts w:asciiTheme="minorEastAsia" w:hAnsiTheme="minorEastAsia" w:hint="eastAsia"/>
          <w:sz w:val="30"/>
          <w:szCs w:val="30"/>
        </w:rPr>
        <w:t>级及以上。</w:t>
      </w:r>
    </w:p>
    <w:p w:rsidR="00CF0AC7" w:rsidRDefault="00FB7822">
      <w:pPr>
        <w:spacing w:line="600" w:lineRule="exact"/>
        <w:ind w:firstLine="660"/>
        <w:rPr>
          <w:rFonts w:asciiTheme="minorEastAsia" w:hAnsiTheme="minorEastAsia"/>
          <w:sz w:val="30"/>
          <w:szCs w:val="30"/>
        </w:rPr>
      </w:pPr>
      <w:r>
        <w:rPr>
          <w:rFonts w:asciiTheme="minorEastAsia" w:hAnsiTheme="minorEastAsia" w:hint="eastAsia"/>
          <w:sz w:val="30"/>
          <w:szCs w:val="30"/>
        </w:rPr>
        <w:t>（二）依法开展经营活动，近</w:t>
      </w:r>
      <w:r>
        <w:rPr>
          <w:rFonts w:asciiTheme="minorEastAsia" w:hAnsiTheme="minorEastAsia" w:hint="eastAsia"/>
          <w:sz w:val="30"/>
          <w:szCs w:val="30"/>
        </w:rPr>
        <w:t>3</w:t>
      </w:r>
      <w:r>
        <w:rPr>
          <w:rFonts w:asciiTheme="minorEastAsia" w:hAnsiTheme="minorEastAsia" w:hint="eastAsia"/>
          <w:sz w:val="30"/>
          <w:szCs w:val="30"/>
        </w:rPr>
        <w:t>年内在经营活动中无重大违法违纪记录。</w:t>
      </w:r>
    </w:p>
    <w:p w:rsidR="00CF0AC7" w:rsidRDefault="00FB7822">
      <w:pPr>
        <w:spacing w:line="600" w:lineRule="exact"/>
        <w:ind w:firstLine="660"/>
        <w:rPr>
          <w:rFonts w:asciiTheme="minorEastAsia" w:hAnsiTheme="minorEastAsia"/>
          <w:sz w:val="30"/>
          <w:szCs w:val="30"/>
        </w:rPr>
      </w:pPr>
      <w:r>
        <w:rPr>
          <w:rFonts w:asciiTheme="minorEastAsia" w:hAnsiTheme="minorEastAsia" w:hint="eastAsia"/>
          <w:sz w:val="30"/>
          <w:szCs w:val="30"/>
        </w:rPr>
        <w:t>（三）财务稳健，资金充足率、不良贷款率、拨备覆盖率、流动性覆盖率、流动性比例等指标达到监管标准。</w:t>
      </w:r>
    </w:p>
    <w:p w:rsidR="00CF0AC7" w:rsidRDefault="00FB7822">
      <w:pPr>
        <w:spacing w:line="600" w:lineRule="exact"/>
        <w:ind w:firstLine="660"/>
        <w:rPr>
          <w:rFonts w:asciiTheme="minorEastAsia" w:hAnsiTheme="minorEastAsia"/>
          <w:sz w:val="30"/>
          <w:szCs w:val="30"/>
        </w:rPr>
      </w:pPr>
      <w:r>
        <w:rPr>
          <w:rFonts w:asciiTheme="minorEastAsia" w:hAnsiTheme="minorEastAsia" w:hint="eastAsia"/>
          <w:sz w:val="30"/>
          <w:szCs w:val="30"/>
        </w:rPr>
        <w:t>（四）内部管理机制健全，具有较强的风险控制能力，近</w:t>
      </w:r>
      <w:r>
        <w:rPr>
          <w:rFonts w:asciiTheme="minorEastAsia" w:hAnsiTheme="minorEastAsia" w:hint="eastAsia"/>
          <w:sz w:val="30"/>
          <w:szCs w:val="30"/>
        </w:rPr>
        <w:t>3</w:t>
      </w:r>
      <w:r>
        <w:rPr>
          <w:rFonts w:asciiTheme="minorEastAsia" w:hAnsiTheme="minorEastAsia" w:hint="eastAsia"/>
          <w:sz w:val="30"/>
          <w:szCs w:val="30"/>
        </w:rPr>
        <w:t>年内未发生金融风险及重大违约事件。</w:t>
      </w:r>
      <w:r>
        <w:rPr>
          <w:rFonts w:asciiTheme="minorEastAsia" w:hAnsiTheme="minorEastAsia" w:hint="eastAsia"/>
          <w:sz w:val="30"/>
          <w:szCs w:val="30"/>
        </w:rPr>
        <w:t xml:space="preserve"> </w:t>
      </w:r>
    </w:p>
    <w:p w:rsidR="00CF0AC7" w:rsidRDefault="00FB7822">
      <w:pPr>
        <w:spacing w:line="600" w:lineRule="exact"/>
        <w:ind w:firstLineChars="200" w:firstLine="600"/>
        <w:rPr>
          <w:rFonts w:asciiTheme="minorEastAsia" w:hAnsiTheme="minorEastAsia"/>
          <w:sz w:val="30"/>
          <w:szCs w:val="30"/>
        </w:rPr>
      </w:pPr>
      <w:r>
        <w:rPr>
          <w:rFonts w:asciiTheme="minorEastAsia" w:hAnsiTheme="minorEastAsia" w:hint="eastAsia"/>
          <w:sz w:val="30"/>
          <w:szCs w:val="30"/>
        </w:rPr>
        <w:t>第九条</w:t>
      </w:r>
      <w:r>
        <w:rPr>
          <w:rFonts w:asciiTheme="minorEastAsia" w:hAnsiTheme="minorEastAsia" w:hint="eastAsia"/>
          <w:sz w:val="30"/>
          <w:szCs w:val="30"/>
        </w:rPr>
        <w:t xml:space="preserve">  </w:t>
      </w:r>
      <w:r>
        <w:rPr>
          <w:rFonts w:asciiTheme="minorEastAsia" w:hAnsiTheme="minorEastAsia" w:hint="eastAsia"/>
          <w:sz w:val="30"/>
          <w:szCs w:val="30"/>
        </w:rPr>
        <w:t>村级集体大额资金竞争性存放招投标，应以资金收益率为标的，采用综合评分法招标。根据各竞标银行的经营状况、服务水平、利率水平和经济发展贡献</w:t>
      </w:r>
      <w:r>
        <w:rPr>
          <w:rFonts w:asciiTheme="minorEastAsia" w:hAnsiTheme="minorEastAsia" w:hint="eastAsia"/>
          <w:sz w:val="30"/>
          <w:szCs w:val="30"/>
        </w:rPr>
        <w:t>度等方面指标，进行综合评分，择优确定中标银行。中标银行不得超过</w:t>
      </w:r>
      <w:r>
        <w:rPr>
          <w:rFonts w:asciiTheme="minorEastAsia" w:hAnsiTheme="minorEastAsia" w:hint="eastAsia"/>
          <w:sz w:val="30"/>
          <w:szCs w:val="30"/>
        </w:rPr>
        <w:t>3</w:t>
      </w:r>
      <w:r>
        <w:rPr>
          <w:rFonts w:asciiTheme="minorEastAsia" w:hAnsiTheme="minorEastAsia" w:hint="eastAsia"/>
          <w:sz w:val="30"/>
          <w:szCs w:val="30"/>
        </w:rPr>
        <w:t>家，所有评标过程均采用书面形式。</w:t>
      </w:r>
    </w:p>
    <w:p w:rsidR="00CF0AC7" w:rsidRDefault="00FB7822">
      <w:pPr>
        <w:spacing w:line="600" w:lineRule="exact"/>
        <w:rPr>
          <w:rFonts w:asciiTheme="minorEastAsia" w:hAnsiTheme="minorEastAsia"/>
          <w:sz w:val="30"/>
          <w:szCs w:val="30"/>
        </w:rPr>
      </w:pPr>
      <w:r>
        <w:rPr>
          <w:rFonts w:asciiTheme="minorEastAsia" w:hAnsiTheme="minorEastAsia" w:hint="eastAsia"/>
          <w:sz w:val="30"/>
          <w:szCs w:val="30"/>
        </w:rPr>
        <w:t xml:space="preserve">    </w:t>
      </w:r>
      <w:r>
        <w:rPr>
          <w:rFonts w:asciiTheme="minorEastAsia" w:hAnsiTheme="minorEastAsia" w:hint="eastAsia"/>
          <w:sz w:val="30"/>
          <w:szCs w:val="30"/>
        </w:rPr>
        <w:t>第十条</w:t>
      </w:r>
      <w:r>
        <w:rPr>
          <w:rFonts w:asciiTheme="minorEastAsia" w:hAnsiTheme="minorEastAsia" w:hint="eastAsia"/>
          <w:sz w:val="30"/>
          <w:szCs w:val="30"/>
        </w:rPr>
        <w:t xml:space="preserve">  </w:t>
      </w:r>
      <w:r>
        <w:rPr>
          <w:rFonts w:asciiTheme="minorEastAsia" w:hAnsiTheme="minorEastAsia" w:hint="eastAsia"/>
          <w:sz w:val="30"/>
          <w:szCs w:val="30"/>
        </w:rPr>
        <w:t>中标银行出现以下情形之一的，村集体经济组织应</w:t>
      </w:r>
      <w:r>
        <w:rPr>
          <w:rFonts w:asciiTheme="minorEastAsia" w:hAnsiTheme="minorEastAsia" w:hint="eastAsia"/>
          <w:sz w:val="30"/>
          <w:szCs w:val="30"/>
        </w:rPr>
        <w:lastRenderedPageBreak/>
        <w:t>及时提前收回存放的集体资金：</w:t>
      </w:r>
    </w:p>
    <w:p w:rsidR="00CF0AC7" w:rsidRDefault="00FB7822">
      <w:pPr>
        <w:spacing w:line="600" w:lineRule="exact"/>
        <w:ind w:firstLine="660"/>
        <w:rPr>
          <w:rFonts w:asciiTheme="minorEastAsia" w:hAnsiTheme="minorEastAsia"/>
          <w:sz w:val="30"/>
          <w:szCs w:val="30"/>
        </w:rPr>
      </w:pPr>
      <w:r>
        <w:rPr>
          <w:rFonts w:asciiTheme="minorEastAsia" w:hAnsiTheme="minorEastAsia" w:hint="eastAsia"/>
          <w:sz w:val="30"/>
          <w:szCs w:val="30"/>
        </w:rPr>
        <w:t>（一）出现资金安全事故、重大违法违规情况或财务情况恶化；</w:t>
      </w:r>
    </w:p>
    <w:p w:rsidR="00CF0AC7" w:rsidRDefault="00FB7822">
      <w:pPr>
        <w:spacing w:line="600" w:lineRule="exact"/>
        <w:ind w:firstLine="660"/>
        <w:rPr>
          <w:rFonts w:asciiTheme="minorEastAsia" w:hAnsiTheme="minorEastAsia"/>
          <w:sz w:val="30"/>
          <w:szCs w:val="30"/>
        </w:rPr>
      </w:pPr>
      <w:r>
        <w:rPr>
          <w:rFonts w:asciiTheme="minorEastAsia" w:hAnsiTheme="minorEastAsia" w:hint="eastAsia"/>
          <w:sz w:val="30"/>
          <w:szCs w:val="30"/>
        </w:rPr>
        <w:t>（二）</w:t>
      </w:r>
      <w:r>
        <w:rPr>
          <w:rFonts w:asciiTheme="minorEastAsia" w:hAnsiTheme="minorEastAsia" w:hint="eastAsia"/>
          <w:sz w:val="30"/>
          <w:szCs w:val="30"/>
        </w:rPr>
        <w:t xml:space="preserve"> </w:t>
      </w:r>
      <w:r>
        <w:rPr>
          <w:rFonts w:asciiTheme="minorEastAsia" w:hAnsiTheme="minorEastAsia" w:hint="eastAsia"/>
          <w:sz w:val="30"/>
          <w:szCs w:val="30"/>
        </w:rPr>
        <w:t>监管评级降低，且监管部门认为存在较大运营风险；</w:t>
      </w:r>
    </w:p>
    <w:p w:rsidR="00CF0AC7" w:rsidRDefault="00FB7822">
      <w:pPr>
        <w:spacing w:line="600" w:lineRule="exact"/>
        <w:ind w:firstLine="660"/>
        <w:rPr>
          <w:rFonts w:asciiTheme="minorEastAsia" w:hAnsiTheme="minorEastAsia"/>
          <w:sz w:val="30"/>
          <w:szCs w:val="30"/>
        </w:rPr>
      </w:pPr>
      <w:r>
        <w:rPr>
          <w:rFonts w:asciiTheme="minorEastAsia" w:hAnsiTheme="minorEastAsia" w:hint="eastAsia"/>
          <w:sz w:val="30"/>
          <w:szCs w:val="30"/>
        </w:rPr>
        <w:t>（三）进行严重不正当投标；</w:t>
      </w:r>
    </w:p>
    <w:p w:rsidR="00CF0AC7" w:rsidRDefault="00FB7822">
      <w:pPr>
        <w:spacing w:line="600" w:lineRule="exact"/>
        <w:ind w:firstLine="660"/>
        <w:rPr>
          <w:rFonts w:asciiTheme="minorEastAsia" w:hAnsiTheme="minorEastAsia"/>
          <w:sz w:val="30"/>
          <w:szCs w:val="30"/>
        </w:rPr>
      </w:pPr>
      <w:r>
        <w:rPr>
          <w:rFonts w:asciiTheme="minorEastAsia" w:hAnsiTheme="minorEastAsia" w:hint="eastAsia"/>
          <w:sz w:val="30"/>
          <w:szCs w:val="30"/>
        </w:rPr>
        <w:t>（四）未按照中标协议承诺履行相应的责任和义务；</w:t>
      </w:r>
    </w:p>
    <w:p w:rsidR="00CF0AC7" w:rsidRDefault="00FB7822">
      <w:pPr>
        <w:spacing w:line="600" w:lineRule="exact"/>
        <w:ind w:firstLine="660"/>
        <w:rPr>
          <w:rFonts w:asciiTheme="minorEastAsia" w:hAnsiTheme="minorEastAsia"/>
          <w:sz w:val="30"/>
          <w:szCs w:val="30"/>
        </w:rPr>
      </w:pPr>
      <w:r>
        <w:rPr>
          <w:rFonts w:asciiTheme="minorEastAsia" w:hAnsiTheme="minorEastAsia" w:hint="eastAsia"/>
          <w:sz w:val="30"/>
          <w:szCs w:val="30"/>
        </w:rPr>
        <w:t>（五）擅自降低服务条件和服务内容；</w:t>
      </w:r>
    </w:p>
    <w:p w:rsidR="00CF0AC7" w:rsidRDefault="00FB7822">
      <w:pPr>
        <w:spacing w:line="600" w:lineRule="exact"/>
        <w:ind w:firstLine="660"/>
        <w:rPr>
          <w:rFonts w:asciiTheme="minorEastAsia" w:hAnsiTheme="minorEastAsia"/>
          <w:sz w:val="30"/>
          <w:szCs w:val="30"/>
        </w:rPr>
      </w:pPr>
      <w:r>
        <w:rPr>
          <w:rFonts w:asciiTheme="minorEastAsia" w:hAnsiTheme="minorEastAsia" w:hint="eastAsia"/>
          <w:sz w:val="30"/>
          <w:szCs w:val="30"/>
        </w:rPr>
        <w:t>（六）出现银行挤兑、存款被盗或其他可能妨害集体资金安全的情形。</w:t>
      </w:r>
    </w:p>
    <w:p w:rsidR="00CF0AC7" w:rsidRDefault="00FB7822">
      <w:pPr>
        <w:spacing w:line="600" w:lineRule="exact"/>
        <w:ind w:firstLineChars="200" w:firstLine="600"/>
        <w:rPr>
          <w:rFonts w:asciiTheme="minorEastAsia" w:hAnsiTheme="minorEastAsia"/>
          <w:sz w:val="30"/>
          <w:szCs w:val="30"/>
        </w:rPr>
      </w:pPr>
      <w:r>
        <w:rPr>
          <w:rFonts w:asciiTheme="minorEastAsia" w:hAnsiTheme="minorEastAsia" w:hint="eastAsia"/>
          <w:sz w:val="30"/>
          <w:szCs w:val="30"/>
        </w:rPr>
        <w:t>第十一条</w:t>
      </w:r>
      <w:r>
        <w:rPr>
          <w:rFonts w:asciiTheme="minorEastAsia" w:hAnsiTheme="minorEastAsia" w:hint="eastAsia"/>
          <w:sz w:val="30"/>
          <w:szCs w:val="30"/>
        </w:rPr>
        <w:t xml:space="preserve">  </w:t>
      </w:r>
      <w:r>
        <w:rPr>
          <w:rFonts w:asciiTheme="minorEastAsia" w:hAnsiTheme="minorEastAsia" w:hint="eastAsia"/>
          <w:sz w:val="30"/>
          <w:szCs w:val="30"/>
        </w:rPr>
        <w:t>村级集体大额资金竞争性存放周期一般不超过</w:t>
      </w:r>
      <w:r>
        <w:rPr>
          <w:rFonts w:asciiTheme="minorEastAsia" w:hAnsiTheme="minorEastAsia" w:hint="eastAsia"/>
          <w:sz w:val="30"/>
          <w:szCs w:val="30"/>
        </w:rPr>
        <w:t>3</w:t>
      </w:r>
      <w:r>
        <w:rPr>
          <w:rFonts w:asciiTheme="minorEastAsia" w:hAnsiTheme="minorEastAsia" w:hint="eastAsia"/>
          <w:sz w:val="30"/>
          <w:szCs w:val="30"/>
        </w:rPr>
        <w:t>年（含）。协议周期内，定期存款期限可根据需要自行确定，定期存款采用多张存单方式存放。到期后，村集体经济组织应按照约定及时将存款本金、利息分别足额划回。协议周期到期后应重新进行公开招投标，原则上不得续存。</w:t>
      </w:r>
    </w:p>
    <w:p w:rsidR="00CF0AC7" w:rsidRDefault="00FB7822">
      <w:pPr>
        <w:spacing w:line="600" w:lineRule="exact"/>
        <w:ind w:firstLineChars="200" w:firstLine="600"/>
        <w:rPr>
          <w:rFonts w:asciiTheme="minorEastAsia" w:hAnsiTheme="minorEastAsia"/>
          <w:sz w:val="30"/>
          <w:szCs w:val="30"/>
        </w:rPr>
      </w:pPr>
      <w:r>
        <w:rPr>
          <w:rFonts w:asciiTheme="minorEastAsia" w:hAnsiTheme="minorEastAsia" w:hint="eastAsia"/>
          <w:sz w:val="30"/>
          <w:szCs w:val="30"/>
        </w:rPr>
        <w:t>第十二条</w:t>
      </w:r>
      <w:r>
        <w:rPr>
          <w:rFonts w:asciiTheme="minorEastAsia" w:hAnsiTheme="minorEastAsia" w:hint="eastAsia"/>
          <w:sz w:val="30"/>
          <w:szCs w:val="30"/>
        </w:rPr>
        <w:t xml:space="preserve">  </w:t>
      </w:r>
      <w:r>
        <w:rPr>
          <w:rFonts w:asciiTheme="minorEastAsia" w:hAnsiTheme="minorEastAsia" w:hint="eastAsia"/>
          <w:sz w:val="30"/>
          <w:szCs w:val="30"/>
        </w:rPr>
        <w:t>村集体经济组织原有未通过公开招标方式存放的村级集体大额资金，应按本办法有关规定纳入招标范围。有书面协议约定的，协议期满后按本办法有关规定执行。招标工作结束后，村集体经济组织只能设立一个基本账户和中标银行</w:t>
      </w:r>
      <w:r>
        <w:rPr>
          <w:rFonts w:asciiTheme="minorEastAsia" w:hAnsiTheme="minorEastAsia" w:hint="eastAsia"/>
          <w:sz w:val="30"/>
          <w:szCs w:val="30"/>
          <w:u w:val="single" w:color="C8ECCC" w:themeColor="background1"/>
        </w:rPr>
        <w:t>定期</w:t>
      </w:r>
      <w:r>
        <w:rPr>
          <w:rFonts w:asciiTheme="minorEastAsia" w:hAnsiTheme="minorEastAsia" w:hint="eastAsia"/>
          <w:sz w:val="30"/>
          <w:szCs w:val="30"/>
        </w:rPr>
        <w:t>存款账户及</w:t>
      </w:r>
      <w:r>
        <w:rPr>
          <w:rFonts w:asciiTheme="minorEastAsia" w:hAnsiTheme="minorEastAsia"/>
          <w:sz w:val="30"/>
          <w:szCs w:val="30"/>
        </w:rPr>
        <w:t>一般账户</w:t>
      </w:r>
      <w:r>
        <w:rPr>
          <w:rFonts w:asciiTheme="minorEastAsia" w:hAnsiTheme="minorEastAsia" w:hint="eastAsia"/>
          <w:sz w:val="30"/>
          <w:szCs w:val="30"/>
        </w:rPr>
        <w:t>，原有开设的其它银行账户一律注</w:t>
      </w:r>
      <w:r>
        <w:rPr>
          <w:rFonts w:asciiTheme="minorEastAsia" w:hAnsiTheme="minorEastAsia" w:hint="eastAsia"/>
          <w:sz w:val="30"/>
          <w:szCs w:val="30"/>
        </w:rPr>
        <w:t>销。</w:t>
      </w:r>
    </w:p>
    <w:p w:rsidR="00CF0AC7" w:rsidRDefault="00CF0AC7">
      <w:pPr>
        <w:spacing w:line="600" w:lineRule="exact"/>
        <w:jc w:val="center"/>
        <w:rPr>
          <w:rFonts w:ascii="黑体" w:eastAsia="黑体" w:hAnsi="黑体"/>
          <w:sz w:val="30"/>
          <w:szCs w:val="30"/>
        </w:rPr>
      </w:pPr>
    </w:p>
    <w:p w:rsidR="00CF0AC7" w:rsidRDefault="00FB7822">
      <w:pPr>
        <w:spacing w:line="600" w:lineRule="exact"/>
        <w:jc w:val="center"/>
        <w:rPr>
          <w:rFonts w:ascii="黑体" w:eastAsia="黑体" w:hAnsi="黑体"/>
          <w:sz w:val="30"/>
          <w:szCs w:val="30"/>
        </w:rPr>
      </w:pPr>
      <w:r>
        <w:rPr>
          <w:rFonts w:ascii="黑体" w:eastAsia="黑体" w:hAnsi="黑体" w:hint="eastAsia"/>
          <w:sz w:val="30"/>
          <w:szCs w:val="30"/>
        </w:rPr>
        <w:t>第三章</w:t>
      </w:r>
      <w:r>
        <w:rPr>
          <w:rFonts w:ascii="黑体" w:eastAsia="黑体" w:hAnsi="黑体" w:hint="eastAsia"/>
          <w:sz w:val="30"/>
          <w:szCs w:val="30"/>
        </w:rPr>
        <w:t xml:space="preserve">  </w:t>
      </w:r>
      <w:r>
        <w:rPr>
          <w:rFonts w:ascii="黑体" w:eastAsia="黑体" w:hAnsi="黑体" w:hint="eastAsia"/>
          <w:sz w:val="30"/>
          <w:szCs w:val="30"/>
        </w:rPr>
        <w:t>组织实施</w:t>
      </w:r>
    </w:p>
    <w:p w:rsidR="00CF0AC7" w:rsidRDefault="00FB7822">
      <w:pPr>
        <w:spacing w:line="600" w:lineRule="exact"/>
        <w:ind w:firstLineChars="200" w:firstLine="600"/>
        <w:rPr>
          <w:rFonts w:asciiTheme="minorEastAsia" w:hAnsiTheme="minorEastAsia"/>
          <w:sz w:val="30"/>
          <w:szCs w:val="30"/>
        </w:rPr>
      </w:pPr>
      <w:r>
        <w:rPr>
          <w:rFonts w:asciiTheme="minorEastAsia" w:hAnsiTheme="minorEastAsia" w:hint="eastAsia"/>
          <w:sz w:val="30"/>
          <w:szCs w:val="30"/>
        </w:rPr>
        <w:t>第十三条</w:t>
      </w:r>
      <w:r>
        <w:rPr>
          <w:rFonts w:asciiTheme="minorEastAsia" w:hAnsiTheme="minorEastAsia" w:hint="eastAsia"/>
          <w:sz w:val="30"/>
          <w:szCs w:val="30"/>
        </w:rPr>
        <w:t xml:space="preserve">  </w:t>
      </w:r>
      <w:r>
        <w:rPr>
          <w:rFonts w:asciiTheme="minorEastAsia" w:hAnsiTheme="minorEastAsia" w:hint="eastAsia"/>
          <w:sz w:val="30"/>
          <w:szCs w:val="30"/>
        </w:rPr>
        <w:t>在街道党工委的统一领导下，成立以街道主要领导为组长、纪工委书记和分管负责人为副组长的村级集体大额资</w:t>
      </w:r>
      <w:r>
        <w:rPr>
          <w:rFonts w:asciiTheme="minorEastAsia" w:hAnsiTheme="minorEastAsia" w:hint="eastAsia"/>
          <w:sz w:val="30"/>
          <w:szCs w:val="30"/>
        </w:rPr>
        <w:lastRenderedPageBreak/>
        <w:t>金竞争性存放工作领导小组，领导小组下设办公室，负责对所属村级集体大额资金竞争性存放工作的指导、服务和对村级集体大额资金竞争性存放招投标工作的组织、管理和协调。街道纪工委对村级集体资金竞争性存放实行全过程监督。</w:t>
      </w:r>
    </w:p>
    <w:p w:rsidR="00CF0AC7" w:rsidRDefault="00FB7822">
      <w:pPr>
        <w:spacing w:line="600" w:lineRule="exact"/>
        <w:ind w:firstLineChars="200" w:firstLine="600"/>
        <w:rPr>
          <w:rFonts w:asciiTheme="minorEastAsia" w:hAnsiTheme="minorEastAsia"/>
          <w:sz w:val="30"/>
          <w:szCs w:val="30"/>
        </w:rPr>
      </w:pPr>
      <w:r>
        <w:rPr>
          <w:rFonts w:asciiTheme="minorEastAsia" w:hAnsiTheme="minorEastAsia" w:hint="eastAsia"/>
          <w:sz w:val="30"/>
          <w:szCs w:val="30"/>
        </w:rPr>
        <w:t>第十四条</w:t>
      </w:r>
      <w:r>
        <w:rPr>
          <w:rFonts w:asciiTheme="minorEastAsia" w:hAnsiTheme="minorEastAsia" w:hint="eastAsia"/>
          <w:sz w:val="30"/>
          <w:szCs w:val="30"/>
        </w:rPr>
        <w:t xml:space="preserve">  </w:t>
      </w:r>
      <w:r>
        <w:rPr>
          <w:rFonts w:asciiTheme="minorEastAsia" w:hAnsiTheme="minorEastAsia" w:hint="eastAsia"/>
          <w:sz w:val="30"/>
          <w:szCs w:val="30"/>
        </w:rPr>
        <w:t>在社区党组织统一领导下，村集体经济组织将集体大额资金竞争性存放的总体方案和实施办法作为村级集体资产经营管理活动的重大决策事项，纳入村集体经济组织的民主决</w:t>
      </w:r>
      <w:r>
        <w:rPr>
          <w:rFonts w:asciiTheme="minorEastAsia" w:hAnsiTheme="minorEastAsia" w:hint="eastAsia"/>
          <w:sz w:val="30"/>
          <w:szCs w:val="30"/>
        </w:rPr>
        <w:t>策程序。在交付表决前，应当在公开栏进行公示，征求本社的社员股东意见，征求意见时间不少于十五天，然后提交经授权的社员股东代表大会讨论通过形成书面决议存档备查，并将其表决结果在居</w:t>
      </w:r>
      <w:proofErr w:type="gramStart"/>
      <w:r>
        <w:rPr>
          <w:rFonts w:asciiTheme="minorEastAsia" w:hAnsiTheme="minorEastAsia" w:hint="eastAsia"/>
          <w:sz w:val="30"/>
          <w:szCs w:val="30"/>
        </w:rPr>
        <w:t>务</w:t>
      </w:r>
      <w:proofErr w:type="gramEnd"/>
      <w:r>
        <w:rPr>
          <w:rFonts w:asciiTheme="minorEastAsia" w:hAnsiTheme="minorEastAsia" w:hint="eastAsia"/>
          <w:sz w:val="30"/>
          <w:szCs w:val="30"/>
        </w:rPr>
        <w:t>公开栏公示后实施。</w:t>
      </w:r>
    </w:p>
    <w:p w:rsidR="00CF0AC7" w:rsidRDefault="00FB7822">
      <w:pPr>
        <w:spacing w:line="600" w:lineRule="exact"/>
        <w:ind w:firstLineChars="200" w:firstLine="600"/>
        <w:rPr>
          <w:rFonts w:asciiTheme="minorEastAsia" w:hAnsiTheme="minorEastAsia"/>
          <w:sz w:val="30"/>
          <w:szCs w:val="30"/>
        </w:rPr>
      </w:pPr>
      <w:r>
        <w:rPr>
          <w:rFonts w:asciiTheme="minorEastAsia" w:hAnsiTheme="minorEastAsia" w:hint="eastAsia"/>
          <w:sz w:val="30"/>
          <w:szCs w:val="30"/>
        </w:rPr>
        <w:t>第十五条</w:t>
      </w:r>
      <w:r>
        <w:rPr>
          <w:rFonts w:asciiTheme="minorEastAsia" w:hAnsiTheme="minorEastAsia" w:hint="eastAsia"/>
          <w:sz w:val="30"/>
          <w:szCs w:val="30"/>
        </w:rPr>
        <w:t xml:space="preserve">  </w:t>
      </w:r>
      <w:r>
        <w:rPr>
          <w:rFonts w:asciiTheme="minorEastAsia" w:hAnsiTheme="minorEastAsia" w:hint="eastAsia"/>
          <w:sz w:val="30"/>
          <w:szCs w:val="30"/>
        </w:rPr>
        <w:t>村级集体大额资金竞争性存放工作所需经费列入街道年度财政预算。</w:t>
      </w:r>
    </w:p>
    <w:p w:rsidR="00CF0AC7" w:rsidRDefault="00FB7822">
      <w:pPr>
        <w:spacing w:line="600" w:lineRule="exact"/>
        <w:ind w:firstLineChars="200" w:firstLine="600"/>
        <w:rPr>
          <w:rFonts w:asciiTheme="minorEastAsia" w:hAnsiTheme="minorEastAsia"/>
          <w:sz w:val="30"/>
          <w:szCs w:val="30"/>
        </w:rPr>
      </w:pPr>
      <w:r>
        <w:rPr>
          <w:rFonts w:asciiTheme="minorEastAsia" w:hAnsiTheme="minorEastAsia" w:hint="eastAsia"/>
          <w:sz w:val="30"/>
          <w:szCs w:val="30"/>
        </w:rPr>
        <w:t>第十六条</w:t>
      </w:r>
      <w:r>
        <w:rPr>
          <w:rFonts w:asciiTheme="minorEastAsia" w:hAnsiTheme="minorEastAsia" w:hint="eastAsia"/>
          <w:sz w:val="30"/>
          <w:szCs w:val="30"/>
        </w:rPr>
        <w:t xml:space="preserve">  </w:t>
      </w:r>
      <w:r>
        <w:rPr>
          <w:rFonts w:asciiTheme="minorEastAsia" w:hAnsiTheme="minorEastAsia" w:hint="eastAsia"/>
          <w:sz w:val="30"/>
          <w:szCs w:val="30"/>
        </w:rPr>
        <w:t>本办法自发布后</w:t>
      </w:r>
      <w:r>
        <w:rPr>
          <w:rFonts w:asciiTheme="minorEastAsia" w:hAnsiTheme="minorEastAsia" w:hint="eastAsia"/>
          <w:sz w:val="30"/>
          <w:szCs w:val="30"/>
        </w:rPr>
        <w:t>30</w:t>
      </w:r>
      <w:r>
        <w:rPr>
          <w:rFonts w:asciiTheme="minorEastAsia" w:hAnsiTheme="minorEastAsia" w:hint="eastAsia"/>
          <w:sz w:val="30"/>
          <w:szCs w:val="30"/>
        </w:rPr>
        <w:t>日施行</w:t>
      </w:r>
      <w:r>
        <w:rPr>
          <w:rFonts w:asciiTheme="minorEastAsia" w:hAnsiTheme="minorEastAsia" w:hint="eastAsia"/>
          <w:sz w:val="30"/>
          <w:szCs w:val="30"/>
        </w:rPr>
        <w:t>，</w:t>
      </w:r>
      <w:r>
        <w:rPr>
          <w:rFonts w:asciiTheme="minorEastAsia" w:hAnsiTheme="minorEastAsia" w:hint="eastAsia"/>
          <w:sz w:val="30"/>
          <w:szCs w:val="30"/>
        </w:rPr>
        <w:t>具体由区</w:t>
      </w:r>
      <w:proofErr w:type="gramStart"/>
      <w:r>
        <w:rPr>
          <w:rFonts w:asciiTheme="minorEastAsia" w:hAnsiTheme="minorEastAsia" w:hint="eastAsia"/>
          <w:sz w:val="30"/>
          <w:szCs w:val="30"/>
        </w:rPr>
        <w:t>发改局</w:t>
      </w:r>
      <w:proofErr w:type="gramEnd"/>
      <w:r>
        <w:rPr>
          <w:rFonts w:asciiTheme="minorEastAsia" w:hAnsiTheme="minorEastAsia" w:hint="eastAsia"/>
          <w:sz w:val="30"/>
          <w:szCs w:val="30"/>
        </w:rPr>
        <w:t>负责解释。</w:t>
      </w:r>
    </w:p>
    <w:p w:rsidR="00CF0AC7" w:rsidRDefault="00FB7822">
      <w:pPr>
        <w:spacing w:line="600" w:lineRule="exact"/>
        <w:ind w:firstLineChars="200" w:firstLine="600"/>
        <w:jc w:val="center"/>
        <w:rPr>
          <w:rFonts w:asciiTheme="minorEastAsia" w:hAnsiTheme="minorEastAsia"/>
          <w:sz w:val="30"/>
          <w:szCs w:val="30"/>
        </w:rPr>
      </w:pPr>
      <w:r>
        <w:rPr>
          <w:rFonts w:asciiTheme="minorEastAsia" w:hAnsiTheme="minorEastAsia" w:hint="eastAsia"/>
          <w:sz w:val="30"/>
          <w:szCs w:val="30"/>
        </w:rPr>
        <w:t xml:space="preserve">        </w:t>
      </w:r>
      <w:r>
        <w:rPr>
          <w:rFonts w:asciiTheme="minorEastAsia" w:hAnsiTheme="minorEastAsia"/>
          <w:sz w:val="30"/>
          <w:szCs w:val="30"/>
        </w:rPr>
        <w:t xml:space="preserve">               </w:t>
      </w:r>
    </w:p>
    <w:p w:rsidR="00CF0AC7" w:rsidRDefault="00CF0AC7">
      <w:pPr>
        <w:spacing w:line="600" w:lineRule="exact"/>
        <w:ind w:firstLineChars="200" w:firstLine="600"/>
        <w:jc w:val="center"/>
        <w:rPr>
          <w:rFonts w:asciiTheme="minorEastAsia" w:hAnsiTheme="minorEastAsia"/>
          <w:sz w:val="30"/>
          <w:szCs w:val="30"/>
        </w:rPr>
      </w:pPr>
    </w:p>
    <w:p w:rsidR="00CF0AC7" w:rsidRDefault="00CF0AC7">
      <w:pPr>
        <w:spacing w:line="600" w:lineRule="exact"/>
        <w:ind w:firstLineChars="200" w:firstLine="600"/>
        <w:jc w:val="center"/>
        <w:rPr>
          <w:rFonts w:asciiTheme="minorEastAsia" w:hAnsiTheme="minorEastAsia"/>
          <w:sz w:val="30"/>
          <w:szCs w:val="30"/>
        </w:rPr>
      </w:pPr>
    </w:p>
    <w:p w:rsidR="00CF0AC7" w:rsidRDefault="00CF0AC7">
      <w:pPr>
        <w:spacing w:line="600" w:lineRule="exact"/>
        <w:ind w:firstLineChars="200" w:firstLine="600"/>
        <w:jc w:val="center"/>
        <w:rPr>
          <w:rFonts w:asciiTheme="minorEastAsia" w:hAnsiTheme="minorEastAsia"/>
          <w:sz w:val="30"/>
          <w:szCs w:val="30"/>
        </w:rPr>
      </w:pPr>
    </w:p>
    <w:p w:rsidR="00CF0AC7" w:rsidRDefault="00FB7822">
      <w:pPr>
        <w:spacing w:line="600" w:lineRule="exact"/>
        <w:ind w:firstLineChars="200" w:firstLine="600"/>
        <w:jc w:val="center"/>
        <w:rPr>
          <w:rFonts w:asciiTheme="minorEastAsia" w:hAnsiTheme="minorEastAsia"/>
          <w:sz w:val="30"/>
          <w:szCs w:val="30"/>
        </w:rPr>
      </w:pPr>
      <w:r>
        <w:rPr>
          <w:rFonts w:asciiTheme="minorEastAsia" w:hAnsiTheme="minorEastAsia"/>
          <w:sz w:val="30"/>
          <w:szCs w:val="30"/>
        </w:rPr>
        <w:t xml:space="preserve">                     </w:t>
      </w:r>
      <w:r>
        <w:rPr>
          <w:rFonts w:asciiTheme="minorEastAsia" w:hAnsiTheme="minorEastAsia" w:hint="eastAsia"/>
          <w:sz w:val="30"/>
          <w:szCs w:val="30"/>
        </w:rPr>
        <w:t>杭州高新区</w:t>
      </w:r>
      <w:r>
        <w:rPr>
          <w:rFonts w:asciiTheme="minorEastAsia" w:hAnsiTheme="minorEastAsia" w:hint="eastAsia"/>
          <w:sz w:val="30"/>
          <w:szCs w:val="30"/>
        </w:rPr>
        <w:t>(</w:t>
      </w:r>
      <w:r>
        <w:rPr>
          <w:rFonts w:asciiTheme="minorEastAsia" w:hAnsiTheme="minorEastAsia" w:hint="eastAsia"/>
          <w:sz w:val="30"/>
          <w:szCs w:val="30"/>
        </w:rPr>
        <w:t>滨江</w:t>
      </w:r>
      <w:r>
        <w:rPr>
          <w:rFonts w:asciiTheme="minorEastAsia" w:hAnsiTheme="minorEastAsia" w:hint="eastAsia"/>
          <w:sz w:val="30"/>
          <w:szCs w:val="30"/>
        </w:rPr>
        <w:t>)</w:t>
      </w:r>
      <w:r>
        <w:rPr>
          <w:rFonts w:asciiTheme="minorEastAsia" w:hAnsiTheme="minorEastAsia" w:hint="eastAsia"/>
          <w:sz w:val="30"/>
          <w:szCs w:val="30"/>
        </w:rPr>
        <w:t>发展和改革局</w:t>
      </w:r>
    </w:p>
    <w:p w:rsidR="00CF0AC7" w:rsidRDefault="00FB7822">
      <w:pPr>
        <w:spacing w:line="600" w:lineRule="exact"/>
        <w:ind w:firstLineChars="200" w:firstLine="600"/>
        <w:jc w:val="center"/>
        <w:rPr>
          <w:rFonts w:asciiTheme="minorEastAsia" w:hAnsiTheme="minorEastAsia"/>
          <w:sz w:val="30"/>
          <w:szCs w:val="30"/>
        </w:rPr>
      </w:pPr>
      <w:r>
        <w:rPr>
          <w:rFonts w:asciiTheme="minorEastAsia" w:hAnsiTheme="minorEastAsia" w:hint="eastAsia"/>
          <w:sz w:val="30"/>
          <w:szCs w:val="30"/>
        </w:rPr>
        <w:t xml:space="preserve">        </w:t>
      </w:r>
      <w:r>
        <w:rPr>
          <w:rFonts w:asciiTheme="minorEastAsia" w:hAnsiTheme="minorEastAsia"/>
          <w:sz w:val="30"/>
          <w:szCs w:val="30"/>
        </w:rPr>
        <w:t xml:space="preserve">                   </w:t>
      </w:r>
      <w:r>
        <w:rPr>
          <w:rFonts w:asciiTheme="minorEastAsia" w:hAnsiTheme="minorEastAsia" w:hint="eastAsia"/>
          <w:sz w:val="30"/>
          <w:szCs w:val="30"/>
        </w:rPr>
        <w:t>2021</w:t>
      </w:r>
      <w:r>
        <w:rPr>
          <w:rFonts w:asciiTheme="minorEastAsia" w:hAnsiTheme="minorEastAsia" w:hint="eastAsia"/>
          <w:sz w:val="30"/>
          <w:szCs w:val="30"/>
        </w:rPr>
        <w:t>年</w:t>
      </w:r>
      <w:r>
        <w:rPr>
          <w:rFonts w:asciiTheme="minorEastAsia" w:hAnsiTheme="minorEastAsia"/>
          <w:sz w:val="30"/>
          <w:szCs w:val="30"/>
        </w:rPr>
        <w:t>6</w:t>
      </w:r>
      <w:r>
        <w:rPr>
          <w:rFonts w:asciiTheme="minorEastAsia" w:hAnsiTheme="minorEastAsia" w:hint="eastAsia"/>
          <w:sz w:val="30"/>
          <w:szCs w:val="30"/>
        </w:rPr>
        <w:t>月</w:t>
      </w:r>
      <w:r>
        <w:rPr>
          <w:rFonts w:asciiTheme="minorEastAsia" w:hAnsiTheme="minorEastAsia"/>
          <w:sz w:val="30"/>
          <w:szCs w:val="30"/>
        </w:rPr>
        <w:t>18</w:t>
      </w:r>
      <w:bookmarkStart w:id="0" w:name="_GoBack"/>
      <w:bookmarkEnd w:id="0"/>
      <w:r>
        <w:rPr>
          <w:rFonts w:asciiTheme="minorEastAsia" w:hAnsiTheme="minorEastAsia" w:hint="eastAsia"/>
          <w:sz w:val="30"/>
          <w:szCs w:val="30"/>
        </w:rPr>
        <w:t>日</w:t>
      </w:r>
    </w:p>
    <w:sectPr w:rsidR="00CF0A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67"/>
    <w:rsid w:val="00014242"/>
    <w:rsid w:val="00017127"/>
    <w:rsid w:val="000259D2"/>
    <w:rsid w:val="00027AD2"/>
    <w:rsid w:val="000443E3"/>
    <w:rsid w:val="00052ECC"/>
    <w:rsid w:val="00061980"/>
    <w:rsid w:val="0006661D"/>
    <w:rsid w:val="000751CF"/>
    <w:rsid w:val="00093B77"/>
    <w:rsid w:val="000A2D4E"/>
    <w:rsid w:val="000B3819"/>
    <w:rsid w:val="000B7049"/>
    <w:rsid w:val="000C23DC"/>
    <w:rsid w:val="000C5F7E"/>
    <w:rsid w:val="000C651F"/>
    <w:rsid w:val="000E2766"/>
    <w:rsid w:val="000F2CE3"/>
    <w:rsid w:val="001339C1"/>
    <w:rsid w:val="001365E7"/>
    <w:rsid w:val="00145D8D"/>
    <w:rsid w:val="00152411"/>
    <w:rsid w:val="0017118C"/>
    <w:rsid w:val="00184967"/>
    <w:rsid w:val="00194EFE"/>
    <w:rsid w:val="001B64CB"/>
    <w:rsid w:val="001D3FE5"/>
    <w:rsid w:val="00222E1B"/>
    <w:rsid w:val="002A7A87"/>
    <w:rsid w:val="002B7926"/>
    <w:rsid w:val="003007AB"/>
    <w:rsid w:val="00313CEA"/>
    <w:rsid w:val="00321093"/>
    <w:rsid w:val="00367C24"/>
    <w:rsid w:val="003729AF"/>
    <w:rsid w:val="00383581"/>
    <w:rsid w:val="00384270"/>
    <w:rsid w:val="003964A3"/>
    <w:rsid w:val="003A0E8A"/>
    <w:rsid w:val="003A106C"/>
    <w:rsid w:val="003A332E"/>
    <w:rsid w:val="003A72F4"/>
    <w:rsid w:val="003B696C"/>
    <w:rsid w:val="003C0CF8"/>
    <w:rsid w:val="00416E77"/>
    <w:rsid w:val="00475830"/>
    <w:rsid w:val="004778D5"/>
    <w:rsid w:val="00486EA1"/>
    <w:rsid w:val="004B1981"/>
    <w:rsid w:val="004C14DB"/>
    <w:rsid w:val="004C4643"/>
    <w:rsid w:val="004C5159"/>
    <w:rsid w:val="004D4715"/>
    <w:rsid w:val="00501184"/>
    <w:rsid w:val="00543931"/>
    <w:rsid w:val="00547663"/>
    <w:rsid w:val="00557B1D"/>
    <w:rsid w:val="00574B3F"/>
    <w:rsid w:val="005801C8"/>
    <w:rsid w:val="00592264"/>
    <w:rsid w:val="00596C01"/>
    <w:rsid w:val="005A3450"/>
    <w:rsid w:val="005B10C9"/>
    <w:rsid w:val="005B4F96"/>
    <w:rsid w:val="005C35B5"/>
    <w:rsid w:val="005E16C0"/>
    <w:rsid w:val="0060394D"/>
    <w:rsid w:val="00616179"/>
    <w:rsid w:val="0065163F"/>
    <w:rsid w:val="00674811"/>
    <w:rsid w:val="00682417"/>
    <w:rsid w:val="0068428D"/>
    <w:rsid w:val="00687066"/>
    <w:rsid w:val="00692DB0"/>
    <w:rsid w:val="006B7DB8"/>
    <w:rsid w:val="006E4275"/>
    <w:rsid w:val="006E7CB6"/>
    <w:rsid w:val="0070460B"/>
    <w:rsid w:val="007271E4"/>
    <w:rsid w:val="00753452"/>
    <w:rsid w:val="00771058"/>
    <w:rsid w:val="00774170"/>
    <w:rsid w:val="00776C04"/>
    <w:rsid w:val="0078443A"/>
    <w:rsid w:val="007B2807"/>
    <w:rsid w:val="007C6915"/>
    <w:rsid w:val="007E46C6"/>
    <w:rsid w:val="007F7ABE"/>
    <w:rsid w:val="00801C4A"/>
    <w:rsid w:val="00802E46"/>
    <w:rsid w:val="00804D90"/>
    <w:rsid w:val="00835F52"/>
    <w:rsid w:val="00850112"/>
    <w:rsid w:val="0086103F"/>
    <w:rsid w:val="00861254"/>
    <w:rsid w:val="0087522D"/>
    <w:rsid w:val="00880EF2"/>
    <w:rsid w:val="008A5799"/>
    <w:rsid w:val="008B54C8"/>
    <w:rsid w:val="00913617"/>
    <w:rsid w:val="00916184"/>
    <w:rsid w:val="009240E6"/>
    <w:rsid w:val="00932424"/>
    <w:rsid w:val="009410B1"/>
    <w:rsid w:val="009475C4"/>
    <w:rsid w:val="00962E4B"/>
    <w:rsid w:val="009637FB"/>
    <w:rsid w:val="009823B4"/>
    <w:rsid w:val="009B3BAC"/>
    <w:rsid w:val="009D0DF6"/>
    <w:rsid w:val="009D3B55"/>
    <w:rsid w:val="009F3042"/>
    <w:rsid w:val="00A10C59"/>
    <w:rsid w:val="00A11DB3"/>
    <w:rsid w:val="00A22150"/>
    <w:rsid w:val="00A23A7E"/>
    <w:rsid w:val="00A37543"/>
    <w:rsid w:val="00A612BF"/>
    <w:rsid w:val="00A62681"/>
    <w:rsid w:val="00A80AE7"/>
    <w:rsid w:val="00A8607A"/>
    <w:rsid w:val="00A96E15"/>
    <w:rsid w:val="00AB69E8"/>
    <w:rsid w:val="00AC7F12"/>
    <w:rsid w:val="00AD5D6B"/>
    <w:rsid w:val="00AE2BD5"/>
    <w:rsid w:val="00B1692A"/>
    <w:rsid w:val="00B53229"/>
    <w:rsid w:val="00B60C13"/>
    <w:rsid w:val="00B67C50"/>
    <w:rsid w:val="00B912FD"/>
    <w:rsid w:val="00B97CB1"/>
    <w:rsid w:val="00BA4B65"/>
    <w:rsid w:val="00BD3F6B"/>
    <w:rsid w:val="00BD7F19"/>
    <w:rsid w:val="00C0686E"/>
    <w:rsid w:val="00C07902"/>
    <w:rsid w:val="00C35AE6"/>
    <w:rsid w:val="00C35DFA"/>
    <w:rsid w:val="00C50B49"/>
    <w:rsid w:val="00C558FC"/>
    <w:rsid w:val="00C849FB"/>
    <w:rsid w:val="00CB735B"/>
    <w:rsid w:val="00CC181C"/>
    <w:rsid w:val="00CE180B"/>
    <w:rsid w:val="00CF0AC7"/>
    <w:rsid w:val="00CF42EC"/>
    <w:rsid w:val="00CF6EC2"/>
    <w:rsid w:val="00D00BF0"/>
    <w:rsid w:val="00D04BCC"/>
    <w:rsid w:val="00D27323"/>
    <w:rsid w:val="00D34DBF"/>
    <w:rsid w:val="00D510FF"/>
    <w:rsid w:val="00D85766"/>
    <w:rsid w:val="00D871C5"/>
    <w:rsid w:val="00DB4FB9"/>
    <w:rsid w:val="00DE3739"/>
    <w:rsid w:val="00E074BC"/>
    <w:rsid w:val="00E73D25"/>
    <w:rsid w:val="00EB1414"/>
    <w:rsid w:val="00EB284C"/>
    <w:rsid w:val="00ED7FC5"/>
    <w:rsid w:val="00EE3971"/>
    <w:rsid w:val="00EE5833"/>
    <w:rsid w:val="00F14DAD"/>
    <w:rsid w:val="00F268F1"/>
    <w:rsid w:val="00F356F1"/>
    <w:rsid w:val="00F51D1E"/>
    <w:rsid w:val="00F61324"/>
    <w:rsid w:val="00F617F7"/>
    <w:rsid w:val="00F86D3E"/>
    <w:rsid w:val="00FB24BA"/>
    <w:rsid w:val="00FB7822"/>
    <w:rsid w:val="00FC76C8"/>
    <w:rsid w:val="00FF33CF"/>
    <w:rsid w:val="01C66B82"/>
    <w:rsid w:val="08F915D7"/>
    <w:rsid w:val="13600920"/>
    <w:rsid w:val="15A239CD"/>
    <w:rsid w:val="161652EC"/>
    <w:rsid w:val="1B097017"/>
    <w:rsid w:val="207C3872"/>
    <w:rsid w:val="270771AB"/>
    <w:rsid w:val="370642C6"/>
    <w:rsid w:val="3FFE2A87"/>
    <w:rsid w:val="50DE2CD2"/>
    <w:rsid w:val="5165148C"/>
    <w:rsid w:val="54A14CE0"/>
    <w:rsid w:val="578125B3"/>
    <w:rsid w:val="5DE2633D"/>
    <w:rsid w:val="61F536DE"/>
    <w:rsid w:val="65D97AA1"/>
    <w:rsid w:val="6D8E6C13"/>
    <w:rsid w:val="6DCD4179"/>
    <w:rsid w:val="6EE15901"/>
    <w:rsid w:val="717D2965"/>
    <w:rsid w:val="71C00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F87D1"/>
  <w15:docId w15:val="{D2BF70DC-F89B-4BFB-8F1E-3EAB07C0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Emphasis"/>
    <w:basedOn w:val="a0"/>
    <w:uiPriority w:val="20"/>
    <w:qFormat/>
    <w:rPr>
      <w:i/>
      <w:iCs/>
    </w:r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81E58D-31B5-48B3-9478-57CBCAD2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Pages>
  <Words>295</Words>
  <Characters>1683</Characters>
  <Application>Microsoft Office Word</Application>
  <DocSecurity>0</DocSecurity>
  <Lines>14</Lines>
  <Paragraphs>3</Paragraphs>
  <ScaleCrop>false</ScaleCrop>
  <Company>Microsoft</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130</cp:revision>
  <cp:lastPrinted>2021-06-17T02:31:00Z</cp:lastPrinted>
  <dcterms:created xsi:type="dcterms:W3CDTF">2018-10-12T01:19:00Z</dcterms:created>
  <dcterms:modified xsi:type="dcterms:W3CDTF">2021-06-18T01:15:00Z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