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BB" w:rsidRPr="00D8376D" w:rsidRDefault="00BD0AB8">
      <w:pPr>
        <w:adjustRightInd w:val="0"/>
        <w:snapToGrid w:val="0"/>
        <w:spacing w:line="600" w:lineRule="exact"/>
        <w:jc w:val="center"/>
        <w:rPr>
          <w:rFonts w:ascii="方正小标宋简体" w:eastAsia="方正小标宋简体" w:hAnsi="华文中宋" w:cs="Times New Roman"/>
          <w:color w:val="000000" w:themeColor="text1"/>
          <w:sz w:val="44"/>
          <w:szCs w:val="44"/>
        </w:rPr>
      </w:pPr>
      <w:r w:rsidRPr="00D8376D">
        <w:rPr>
          <w:rFonts w:ascii="方正小标宋简体" w:eastAsia="方正小标宋简体" w:hAnsi="华文中宋" w:cs="Times New Roman" w:hint="eastAsia"/>
          <w:color w:val="000000" w:themeColor="text1"/>
          <w:sz w:val="44"/>
          <w:szCs w:val="44"/>
        </w:rPr>
        <w:t>关于印发2023年滨江区</w:t>
      </w:r>
      <w:r w:rsidRPr="00D8376D">
        <w:rPr>
          <w:rFonts w:ascii="方正小标宋简体" w:eastAsia="方正小标宋简体" w:hAnsi="华文中宋" w:cs="Times New Roman"/>
          <w:color w:val="000000" w:themeColor="text1"/>
          <w:sz w:val="44"/>
          <w:szCs w:val="44"/>
        </w:rPr>
        <w:t>食品安全</w:t>
      </w:r>
    </w:p>
    <w:p w:rsidR="00EE1571" w:rsidRPr="00D8376D" w:rsidRDefault="00BD0AB8">
      <w:pPr>
        <w:adjustRightInd w:val="0"/>
        <w:snapToGrid w:val="0"/>
        <w:spacing w:line="600" w:lineRule="exact"/>
        <w:jc w:val="center"/>
        <w:rPr>
          <w:rFonts w:ascii="方正小标宋简体" w:eastAsia="方正小标宋简体" w:hAnsi="华文中宋" w:cs="Times New Roman"/>
          <w:color w:val="000000" w:themeColor="text1"/>
          <w:sz w:val="44"/>
          <w:szCs w:val="44"/>
        </w:rPr>
      </w:pPr>
      <w:r w:rsidRPr="00D8376D">
        <w:rPr>
          <w:rFonts w:ascii="方正小标宋简体" w:eastAsia="方正小标宋简体" w:hAnsi="华文中宋" w:cs="Times New Roman" w:hint="eastAsia"/>
          <w:color w:val="000000" w:themeColor="text1"/>
          <w:sz w:val="44"/>
          <w:szCs w:val="44"/>
        </w:rPr>
        <w:t>抽检监测方案</w:t>
      </w:r>
      <w:r w:rsidRPr="00D8376D">
        <w:rPr>
          <w:rFonts w:ascii="方正小标宋简体" w:eastAsia="方正小标宋简体" w:hAnsi="华文中宋" w:cs="Times New Roman"/>
          <w:color w:val="000000" w:themeColor="text1"/>
          <w:sz w:val="44"/>
          <w:szCs w:val="44"/>
        </w:rPr>
        <w:t>的通知</w:t>
      </w:r>
    </w:p>
    <w:p w:rsidR="00EE1571" w:rsidRPr="00D8376D" w:rsidRDefault="00EE1571">
      <w:pPr>
        <w:adjustRightInd w:val="0"/>
        <w:snapToGrid w:val="0"/>
        <w:spacing w:line="600" w:lineRule="exact"/>
        <w:jc w:val="center"/>
        <w:rPr>
          <w:rFonts w:ascii="Calibri" w:eastAsia="宋体" w:hAnsi="Calibri" w:cs="Times New Roman"/>
          <w:color w:val="000000" w:themeColor="text1"/>
          <w:sz w:val="30"/>
          <w:szCs w:val="30"/>
        </w:rPr>
      </w:pPr>
    </w:p>
    <w:p w:rsidR="00EE1571" w:rsidRPr="00D8376D" w:rsidRDefault="00BD0AB8">
      <w:pPr>
        <w:adjustRightInd w:val="0"/>
        <w:snapToGrid w:val="0"/>
        <w:spacing w:line="360" w:lineRule="auto"/>
        <w:rPr>
          <w:rFonts w:ascii="楷体" w:eastAsia="楷体" w:hAnsi="楷体" w:cs="Times New Roman"/>
          <w:color w:val="000000" w:themeColor="text1"/>
          <w:sz w:val="32"/>
          <w:szCs w:val="32"/>
        </w:rPr>
      </w:pPr>
      <w:r w:rsidRPr="00D8376D">
        <w:rPr>
          <w:rFonts w:ascii="楷体" w:eastAsia="楷体" w:hAnsi="楷体" w:cs="Times New Roman" w:hint="eastAsia"/>
          <w:color w:val="000000" w:themeColor="text1"/>
          <w:sz w:val="32"/>
          <w:szCs w:val="32"/>
        </w:rPr>
        <w:t>区财政局、区发改局（</w:t>
      </w:r>
      <w:r w:rsidR="00D8376D" w:rsidRPr="00D8376D">
        <w:rPr>
          <w:rFonts w:ascii="楷体" w:eastAsia="楷体" w:hAnsi="楷体" w:cs="Times New Roman" w:hint="eastAsia"/>
          <w:color w:val="000000" w:themeColor="text1"/>
          <w:sz w:val="32"/>
          <w:szCs w:val="32"/>
        </w:rPr>
        <w:t>农业</w:t>
      </w:r>
      <w:r w:rsidRPr="00D8376D">
        <w:rPr>
          <w:rFonts w:ascii="楷体" w:eastAsia="楷体" w:hAnsi="楷体" w:cs="Times New Roman" w:hint="eastAsia"/>
          <w:color w:val="000000" w:themeColor="text1"/>
          <w:sz w:val="32"/>
          <w:szCs w:val="32"/>
        </w:rPr>
        <w:t>农村局）、区卫生健康局、区市场监管局、区公安分局：</w:t>
      </w:r>
    </w:p>
    <w:p w:rsidR="00EE1571" w:rsidRPr="00D8376D" w:rsidRDefault="00BD0AB8">
      <w:pPr>
        <w:tabs>
          <w:tab w:val="left" w:pos="1460"/>
        </w:tabs>
        <w:adjustRightInd w:val="0"/>
        <w:snapToGrid w:val="0"/>
        <w:spacing w:line="360" w:lineRule="auto"/>
        <w:ind w:firstLineChars="200" w:firstLine="640"/>
        <w:rPr>
          <w:rFonts w:ascii="仿宋_GB2312" w:eastAsia="仿宋_GB2312" w:hAnsi="仿宋_GB2312" w:cs="宋体"/>
          <w:color w:val="000000" w:themeColor="text1"/>
          <w:kern w:val="0"/>
          <w:sz w:val="32"/>
          <w:szCs w:val="20"/>
        </w:rPr>
      </w:pPr>
      <w:r w:rsidRPr="00D8376D">
        <w:rPr>
          <w:rFonts w:ascii="仿宋_GB2312" w:eastAsia="仿宋_GB2312" w:hAnsi="仿宋_GB2312" w:cs="宋体" w:hint="eastAsia"/>
          <w:color w:val="000000" w:themeColor="text1"/>
          <w:kern w:val="0"/>
          <w:sz w:val="32"/>
          <w:szCs w:val="20"/>
        </w:rPr>
        <w:t>为加强我区食品安全监督抽检和风险监测工作，及时发现和处理食品安全问题，保障公众饮食安全，现制定《2023年滨江区食品安全抽检监测方案》并印发给你们，请认真组织实施，抓好落实。</w:t>
      </w:r>
    </w:p>
    <w:p w:rsidR="00EE1571" w:rsidRPr="00D8376D" w:rsidRDefault="00EE1571">
      <w:pPr>
        <w:rPr>
          <w:rFonts w:ascii="仿宋_GB2312" w:eastAsia="仿宋_GB2312" w:hAnsi="仿宋_GB2312" w:cs="宋体"/>
          <w:color w:val="000000" w:themeColor="text1"/>
          <w:kern w:val="0"/>
          <w:sz w:val="32"/>
          <w:szCs w:val="20"/>
        </w:rPr>
      </w:pPr>
    </w:p>
    <w:p w:rsidR="00EE1571" w:rsidRPr="00D8376D" w:rsidRDefault="00BD0AB8">
      <w:pPr>
        <w:jc w:val="right"/>
        <w:rPr>
          <w:rFonts w:ascii="仿宋_GB2312" w:eastAsia="仿宋_GB2312" w:hAnsi="仿宋_GB2312" w:cs="宋体"/>
          <w:color w:val="000000" w:themeColor="text1"/>
          <w:kern w:val="0"/>
          <w:sz w:val="32"/>
          <w:szCs w:val="20"/>
        </w:rPr>
      </w:pPr>
      <w:r w:rsidRPr="00D8376D">
        <w:rPr>
          <w:rFonts w:ascii="仿宋_GB2312" w:eastAsia="仿宋_GB2312" w:hAnsi="仿宋_GB2312" w:cs="宋体" w:hint="eastAsia"/>
          <w:color w:val="000000" w:themeColor="text1"/>
          <w:kern w:val="0"/>
          <w:sz w:val="32"/>
          <w:szCs w:val="20"/>
        </w:rPr>
        <w:t xml:space="preserve">  杭州高新技术产业开发区（滨江）市场监督管理局</w:t>
      </w:r>
    </w:p>
    <w:p w:rsidR="00EE1571" w:rsidRPr="00D8376D" w:rsidRDefault="00BD0AB8" w:rsidP="008539BB">
      <w:pPr>
        <w:ind w:firstLineChars="1050" w:firstLine="3360"/>
        <w:rPr>
          <w:rFonts w:ascii="仿宋_GB2312" w:eastAsia="仿宋_GB2312" w:hAnsi="仿宋_GB2312" w:cs="宋体"/>
          <w:color w:val="000000" w:themeColor="text1"/>
          <w:kern w:val="0"/>
          <w:sz w:val="32"/>
          <w:szCs w:val="20"/>
        </w:rPr>
      </w:pPr>
      <w:r w:rsidRPr="00D8376D">
        <w:rPr>
          <w:rFonts w:ascii="仿宋_GB2312" w:eastAsia="仿宋_GB2312" w:hAnsi="仿宋_GB2312" w:cs="宋体" w:hint="eastAsia"/>
          <w:color w:val="000000" w:themeColor="text1"/>
          <w:kern w:val="0"/>
          <w:sz w:val="32"/>
          <w:szCs w:val="20"/>
        </w:rPr>
        <w:t>202</w:t>
      </w:r>
      <w:r w:rsidR="008A1D02" w:rsidRPr="00D8376D">
        <w:rPr>
          <w:rFonts w:ascii="仿宋_GB2312" w:eastAsia="仿宋_GB2312" w:hAnsi="仿宋_GB2312" w:cs="宋体" w:hint="eastAsia"/>
          <w:color w:val="000000" w:themeColor="text1"/>
          <w:kern w:val="0"/>
          <w:sz w:val="32"/>
          <w:szCs w:val="20"/>
        </w:rPr>
        <w:t>2</w:t>
      </w:r>
      <w:r w:rsidRPr="00D8376D">
        <w:rPr>
          <w:rFonts w:ascii="仿宋_GB2312" w:eastAsia="仿宋_GB2312" w:hAnsi="仿宋_GB2312" w:cs="宋体" w:hint="eastAsia"/>
          <w:color w:val="000000" w:themeColor="text1"/>
          <w:kern w:val="0"/>
          <w:sz w:val="32"/>
          <w:szCs w:val="20"/>
        </w:rPr>
        <w:t>年1</w:t>
      </w:r>
      <w:r w:rsidR="008539BB" w:rsidRPr="00D8376D">
        <w:rPr>
          <w:rFonts w:ascii="仿宋_GB2312" w:eastAsia="仿宋_GB2312" w:hAnsi="仿宋_GB2312" w:cs="宋体" w:hint="eastAsia"/>
          <w:color w:val="000000" w:themeColor="text1"/>
          <w:kern w:val="0"/>
          <w:sz w:val="32"/>
          <w:szCs w:val="20"/>
        </w:rPr>
        <w:t>2</w:t>
      </w:r>
      <w:r w:rsidRPr="00D8376D">
        <w:rPr>
          <w:rFonts w:ascii="仿宋_GB2312" w:eastAsia="仿宋_GB2312" w:hAnsi="仿宋_GB2312" w:cs="宋体" w:hint="eastAsia"/>
          <w:color w:val="000000" w:themeColor="text1"/>
          <w:kern w:val="0"/>
          <w:sz w:val="32"/>
          <w:szCs w:val="20"/>
        </w:rPr>
        <w:t>月</w:t>
      </w:r>
      <w:r w:rsidR="008539BB" w:rsidRPr="00D8376D">
        <w:rPr>
          <w:rFonts w:ascii="仿宋_GB2312" w:eastAsia="仿宋_GB2312" w:hAnsi="仿宋_GB2312" w:cs="宋体" w:hint="eastAsia"/>
          <w:color w:val="000000" w:themeColor="text1"/>
          <w:kern w:val="0"/>
          <w:sz w:val="32"/>
          <w:szCs w:val="20"/>
        </w:rPr>
        <w:t>30</w:t>
      </w:r>
      <w:r w:rsidRPr="00D8376D">
        <w:rPr>
          <w:rFonts w:ascii="仿宋_GB2312" w:eastAsia="仿宋_GB2312" w:hAnsi="仿宋_GB2312" w:cs="宋体" w:hint="eastAsia"/>
          <w:color w:val="000000" w:themeColor="text1"/>
          <w:kern w:val="0"/>
          <w:sz w:val="32"/>
          <w:szCs w:val="20"/>
        </w:rPr>
        <w:t>日</w:t>
      </w:r>
    </w:p>
    <w:p w:rsidR="00EE1571" w:rsidRPr="00D8376D" w:rsidRDefault="00EE1571">
      <w:pPr>
        <w:ind w:firstLineChars="1700" w:firstLine="5440"/>
        <w:rPr>
          <w:rFonts w:ascii="仿宋_GB2312" w:eastAsia="宋体" w:hAnsi="仿宋_GB2312" w:cs="宋体"/>
          <w:color w:val="000000" w:themeColor="text1"/>
          <w:kern w:val="0"/>
          <w:sz w:val="32"/>
          <w:szCs w:val="20"/>
        </w:rPr>
      </w:pPr>
    </w:p>
    <w:p w:rsidR="008539BB" w:rsidRPr="00D8376D" w:rsidRDefault="008539BB">
      <w:pPr>
        <w:ind w:firstLineChars="1700" w:firstLine="5440"/>
        <w:rPr>
          <w:rFonts w:ascii="仿宋_GB2312" w:eastAsia="宋体" w:hAnsi="仿宋_GB2312" w:cs="宋体"/>
          <w:color w:val="000000" w:themeColor="text1"/>
          <w:kern w:val="0"/>
          <w:sz w:val="32"/>
          <w:szCs w:val="20"/>
        </w:rPr>
      </w:pPr>
    </w:p>
    <w:p w:rsidR="008539BB" w:rsidRPr="00D8376D" w:rsidRDefault="008539BB">
      <w:pPr>
        <w:ind w:firstLineChars="1700" w:firstLine="5440"/>
        <w:rPr>
          <w:rFonts w:ascii="仿宋_GB2312" w:eastAsia="宋体" w:hAnsi="仿宋_GB2312" w:cs="宋体"/>
          <w:color w:val="000000" w:themeColor="text1"/>
          <w:kern w:val="0"/>
          <w:sz w:val="32"/>
          <w:szCs w:val="20"/>
        </w:rPr>
      </w:pPr>
    </w:p>
    <w:p w:rsidR="008539BB" w:rsidRPr="00D8376D" w:rsidRDefault="008539BB">
      <w:pPr>
        <w:ind w:firstLineChars="1700" w:firstLine="5440"/>
        <w:rPr>
          <w:rFonts w:ascii="仿宋_GB2312" w:eastAsia="宋体" w:hAnsi="仿宋_GB2312" w:cs="宋体"/>
          <w:color w:val="000000" w:themeColor="text1"/>
          <w:kern w:val="0"/>
          <w:sz w:val="32"/>
          <w:szCs w:val="20"/>
        </w:rPr>
      </w:pPr>
    </w:p>
    <w:p w:rsidR="008539BB" w:rsidRPr="00D8376D" w:rsidRDefault="008539BB">
      <w:pPr>
        <w:ind w:firstLineChars="1700" w:firstLine="5440"/>
        <w:rPr>
          <w:rFonts w:ascii="仿宋_GB2312" w:eastAsia="宋体" w:hAnsi="仿宋_GB2312" w:cs="宋体"/>
          <w:color w:val="000000" w:themeColor="text1"/>
          <w:kern w:val="0"/>
          <w:sz w:val="32"/>
          <w:szCs w:val="20"/>
        </w:rPr>
      </w:pPr>
    </w:p>
    <w:p w:rsidR="008539BB" w:rsidRPr="00D8376D" w:rsidRDefault="008539BB">
      <w:pPr>
        <w:ind w:firstLineChars="1700" w:firstLine="5440"/>
        <w:rPr>
          <w:rFonts w:ascii="仿宋_GB2312" w:eastAsia="宋体" w:hAnsi="仿宋_GB2312" w:cs="宋体"/>
          <w:color w:val="000000" w:themeColor="text1"/>
          <w:kern w:val="0"/>
          <w:sz w:val="32"/>
          <w:szCs w:val="20"/>
        </w:rPr>
      </w:pPr>
    </w:p>
    <w:p w:rsidR="008539BB" w:rsidRPr="00D8376D" w:rsidRDefault="008539BB">
      <w:pPr>
        <w:ind w:firstLineChars="1700" w:firstLine="5440"/>
        <w:rPr>
          <w:rFonts w:ascii="仿宋_GB2312" w:eastAsia="宋体" w:hAnsi="仿宋_GB2312" w:cs="宋体"/>
          <w:color w:val="000000" w:themeColor="text1"/>
          <w:kern w:val="0"/>
          <w:sz w:val="32"/>
          <w:szCs w:val="20"/>
        </w:rPr>
      </w:pPr>
    </w:p>
    <w:p w:rsidR="008539BB" w:rsidRPr="00D8376D" w:rsidRDefault="008539BB">
      <w:pPr>
        <w:ind w:firstLineChars="1700" w:firstLine="5440"/>
        <w:rPr>
          <w:rFonts w:ascii="仿宋_GB2312" w:eastAsia="宋体" w:hAnsi="仿宋_GB2312" w:cs="宋体"/>
          <w:color w:val="000000" w:themeColor="text1"/>
          <w:kern w:val="0"/>
          <w:sz w:val="32"/>
          <w:szCs w:val="20"/>
        </w:rPr>
      </w:pPr>
    </w:p>
    <w:p w:rsidR="00EE1571" w:rsidRPr="00D8376D" w:rsidRDefault="00BD0AB8">
      <w:pPr>
        <w:jc w:val="left"/>
        <w:rPr>
          <w:rFonts w:ascii="仿宋_GB2312" w:eastAsia="宋体" w:hAnsi="华文中宋" w:cs="Times New Roman"/>
          <w:color w:val="000000" w:themeColor="text1"/>
          <w:sz w:val="32"/>
          <w:szCs w:val="32"/>
        </w:rPr>
      </w:pPr>
      <w:r w:rsidRPr="00D8376D">
        <w:rPr>
          <w:rFonts w:ascii="仿宋_GB2312" w:eastAsia="宋体" w:hAnsi="宋体" w:cs="Times New Roman" w:hint="eastAsia"/>
          <w:color w:val="000000" w:themeColor="text1"/>
          <w:spacing w:val="-24"/>
          <w:u w:val="thick"/>
        </w:rPr>
        <w:t xml:space="preserve">                                                                                       </w:t>
      </w:r>
      <w:r w:rsidRPr="00D8376D">
        <w:rPr>
          <w:rFonts w:ascii="仿宋_GB2312" w:hAnsi="宋体" w:hint="eastAsia"/>
          <w:color w:val="000000" w:themeColor="text1"/>
          <w:spacing w:val="-24"/>
          <w:u w:val="thick"/>
        </w:rPr>
        <w:t xml:space="preserve">                                                            </w:t>
      </w:r>
      <w:r w:rsidRPr="00D8376D">
        <w:rPr>
          <w:rFonts w:ascii="仿宋_GB2312" w:eastAsia="宋体" w:hAnsi="宋体" w:cs="Times New Roman" w:hint="eastAsia"/>
          <w:color w:val="000000" w:themeColor="text1"/>
          <w:spacing w:val="-24"/>
          <w:u w:val="thick"/>
        </w:rPr>
        <w:t xml:space="preserve">    </w:t>
      </w:r>
    </w:p>
    <w:p w:rsidR="00EE1571" w:rsidRPr="00D8376D" w:rsidRDefault="00BD0AB8">
      <w:pPr>
        <w:rPr>
          <w:rFonts w:ascii="仿宋_GB2312" w:eastAsia="仿宋_GB2312" w:hAnsi="宋体" w:cs="Times New Roman"/>
          <w:color w:val="000000" w:themeColor="text1"/>
          <w:spacing w:val="-24"/>
          <w:sz w:val="24"/>
          <w:szCs w:val="24"/>
          <w:u w:val="thick"/>
        </w:rPr>
      </w:pPr>
      <w:r w:rsidRPr="00D8376D">
        <w:rPr>
          <w:rFonts w:ascii="仿宋_GB2312" w:eastAsia="仿宋_GB2312" w:hAnsi="宋体" w:cs="Times New Roman" w:hint="eastAsia"/>
          <w:color w:val="000000" w:themeColor="text1"/>
          <w:spacing w:val="-24"/>
          <w:sz w:val="24"/>
          <w:szCs w:val="24"/>
          <w:u w:val="thick"/>
        </w:rPr>
        <w:t xml:space="preserve">   杭州高新技术产业开发区（滨江）市场监督管理局办公室                  202</w:t>
      </w:r>
      <w:r w:rsidR="008A1D02" w:rsidRPr="00D8376D">
        <w:rPr>
          <w:rFonts w:ascii="仿宋_GB2312" w:eastAsia="仿宋_GB2312" w:hAnsi="宋体" w:cs="Times New Roman" w:hint="eastAsia"/>
          <w:color w:val="000000" w:themeColor="text1"/>
          <w:spacing w:val="-24"/>
          <w:sz w:val="24"/>
          <w:szCs w:val="24"/>
          <w:u w:val="thick"/>
        </w:rPr>
        <w:t>2</w:t>
      </w:r>
      <w:r w:rsidRPr="00D8376D">
        <w:rPr>
          <w:rFonts w:ascii="仿宋_GB2312" w:eastAsia="仿宋_GB2312" w:hAnsi="宋体" w:cs="Times New Roman" w:hint="eastAsia"/>
          <w:color w:val="000000" w:themeColor="text1"/>
          <w:spacing w:val="-24"/>
          <w:sz w:val="24"/>
          <w:szCs w:val="24"/>
          <w:u w:val="thick"/>
        </w:rPr>
        <w:t>年 12月</w:t>
      </w:r>
      <w:r w:rsidR="008A1D02" w:rsidRPr="00D8376D">
        <w:rPr>
          <w:rFonts w:ascii="仿宋_GB2312" w:eastAsia="仿宋_GB2312" w:hAnsi="宋体" w:cs="Times New Roman" w:hint="eastAsia"/>
          <w:color w:val="000000" w:themeColor="text1"/>
          <w:spacing w:val="-24"/>
          <w:sz w:val="24"/>
          <w:szCs w:val="24"/>
          <w:u w:val="thick"/>
        </w:rPr>
        <w:t>30</w:t>
      </w:r>
      <w:r w:rsidRPr="00D8376D">
        <w:rPr>
          <w:rFonts w:ascii="仿宋_GB2312" w:eastAsia="仿宋_GB2312" w:hAnsi="宋体" w:cs="Times New Roman" w:hint="eastAsia"/>
          <w:color w:val="000000" w:themeColor="text1"/>
          <w:spacing w:val="-24"/>
          <w:sz w:val="24"/>
          <w:szCs w:val="24"/>
          <w:u w:val="thick"/>
        </w:rPr>
        <w:t xml:space="preserve"> 日 印发    </w:t>
      </w:r>
    </w:p>
    <w:p w:rsidR="00EE1571" w:rsidRPr="00D8376D" w:rsidRDefault="00EE1571">
      <w:pPr>
        <w:widowControl/>
        <w:jc w:val="left"/>
        <w:rPr>
          <w:rFonts w:ascii="方正小标宋简体" w:eastAsia="方正小标宋简体" w:hAnsi="宋体"/>
          <w:color w:val="000000" w:themeColor="text1"/>
          <w:sz w:val="44"/>
          <w:szCs w:val="44"/>
        </w:rPr>
      </w:pPr>
    </w:p>
    <w:p w:rsidR="00EE1571" w:rsidRPr="00D8376D" w:rsidRDefault="00BD0AB8">
      <w:pPr>
        <w:adjustRightInd w:val="0"/>
        <w:snapToGrid w:val="0"/>
        <w:spacing w:line="600" w:lineRule="exact"/>
        <w:jc w:val="center"/>
        <w:rPr>
          <w:rFonts w:ascii="方正小标宋简体" w:eastAsia="方正小标宋简体" w:hAnsi="宋体"/>
          <w:color w:val="000000" w:themeColor="text1"/>
          <w:sz w:val="44"/>
          <w:szCs w:val="44"/>
        </w:rPr>
      </w:pPr>
      <w:r w:rsidRPr="00D8376D">
        <w:rPr>
          <w:rFonts w:ascii="方正小标宋简体" w:eastAsia="方正小标宋简体" w:hAnsi="宋体" w:hint="eastAsia"/>
          <w:color w:val="000000" w:themeColor="text1"/>
          <w:sz w:val="44"/>
          <w:szCs w:val="44"/>
        </w:rPr>
        <w:t>2023年滨江区食品安全抽检监测方案</w:t>
      </w:r>
    </w:p>
    <w:p w:rsidR="00EE1571" w:rsidRPr="00D8376D" w:rsidRDefault="00EE1571">
      <w:pPr>
        <w:adjustRightInd w:val="0"/>
        <w:snapToGrid w:val="0"/>
        <w:spacing w:line="600" w:lineRule="exact"/>
        <w:jc w:val="center"/>
        <w:rPr>
          <w:rFonts w:ascii="方正小标宋简体" w:eastAsia="方正小标宋简体" w:hAnsi="宋体"/>
          <w:color w:val="000000" w:themeColor="text1"/>
          <w:sz w:val="44"/>
          <w:szCs w:val="44"/>
        </w:rPr>
      </w:pPr>
      <w:bookmarkStart w:id="0" w:name="_GoBack"/>
      <w:bookmarkEnd w:id="0"/>
    </w:p>
    <w:p w:rsidR="00EE1571" w:rsidRPr="00D8376D" w:rsidRDefault="00BD0AB8">
      <w:pPr>
        <w:pStyle w:val="a5"/>
        <w:shd w:val="clear" w:color="auto" w:fill="FFFFFF"/>
        <w:spacing w:before="0" w:beforeAutospacing="0" w:after="0" w:afterAutospacing="0" w:line="540" w:lineRule="atLeast"/>
        <w:ind w:firstLineChars="200" w:firstLine="640"/>
        <w:rPr>
          <w:rFonts w:ascii="仿宋_GB2312" w:eastAsia="仿宋_GB2312" w:hAnsi="微软雅黑"/>
          <w:color w:val="000000" w:themeColor="text1"/>
          <w:sz w:val="32"/>
          <w:szCs w:val="32"/>
        </w:rPr>
      </w:pPr>
      <w:r w:rsidRPr="00D8376D">
        <w:rPr>
          <w:rFonts w:ascii="仿宋_GB2312" w:eastAsia="仿宋_GB2312" w:hAnsi="微软雅黑" w:hint="eastAsia"/>
          <w:color w:val="000000" w:themeColor="text1"/>
          <w:sz w:val="32"/>
          <w:szCs w:val="32"/>
        </w:rPr>
        <w:t>为认真履行食品安全监督管理职能，切实维护食品安全，根据《中华人民共和国食品安全法》、《中华人民共和国食品安全法实施条例》、《食品安全抽样检验管理办法》、《2023年杭州市食品安全抽检监测工作方案》等相关法律法规和文件规定要求，制定我区食品、食用农产品等抽检监测工作方案。</w:t>
      </w:r>
    </w:p>
    <w:p w:rsidR="00EE1571" w:rsidRPr="00D8376D" w:rsidRDefault="00BD0AB8">
      <w:pPr>
        <w:pStyle w:val="a5"/>
        <w:shd w:val="clear" w:color="auto" w:fill="FFFFFF"/>
        <w:spacing w:before="0" w:beforeAutospacing="0" w:after="0" w:afterAutospacing="0" w:line="540" w:lineRule="atLeast"/>
        <w:ind w:firstLine="480"/>
        <w:rPr>
          <w:rFonts w:ascii="黑体" w:eastAsia="黑体" w:hAnsi="黑体"/>
          <w:color w:val="000000" w:themeColor="text1"/>
          <w:sz w:val="32"/>
          <w:szCs w:val="32"/>
        </w:rPr>
      </w:pPr>
      <w:r w:rsidRPr="00D8376D">
        <w:rPr>
          <w:rFonts w:ascii="黑体" w:eastAsia="黑体" w:hAnsi="黑体" w:hint="eastAsia"/>
          <w:color w:val="000000" w:themeColor="text1"/>
          <w:sz w:val="32"/>
          <w:szCs w:val="32"/>
        </w:rPr>
        <w:t>一、工作目标</w:t>
      </w:r>
    </w:p>
    <w:p w:rsidR="00EE1571" w:rsidRPr="00D8376D" w:rsidRDefault="00BD0AB8">
      <w:pPr>
        <w:pStyle w:val="a5"/>
        <w:shd w:val="clear" w:color="auto" w:fill="FFFFFF"/>
        <w:spacing w:before="0" w:beforeAutospacing="0" w:after="0" w:afterAutospacing="0" w:line="540" w:lineRule="atLeast"/>
        <w:ind w:firstLineChars="200" w:firstLine="640"/>
        <w:rPr>
          <w:rFonts w:ascii="仿宋_GB2312" w:eastAsia="仿宋_GB2312" w:hAnsi="微软雅黑"/>
          <w:color w:val="000000" w:themeColor="text1"/>
          <w:sz w:val="32"/>
          <w:szCs w:val="32"/>
        </w:rPr>
      </w:pPr>
      <w:r w:rsidRPr="00D8376D">
        <w:rPr>
          <w:rFonts w:ascii="仿宋_GB2312" w:eastAsia="仿宋_GB2312" w:hAnsi="微软雅黑" w:hint="eastAsia"/>
          <w:color w:val="000000" w:themeColor="text1"/>
          <w:sz w:val="32"/>
          <w:szCs w:val="32"/>
        </w:rPr>
        <w:t>以满足人民群众对安全健康食品的美好生活需要为目标，以食品安全抽样检验为抓手，以发现食品安全问题为导向，以抽、检、研、处联动为保障，有效防控苗头性、系统性、区域性食品安全风险，倒逼生产经营企业落实食品安全主体责任，巩固食品安全稳定向好的态势，促进食品产业有序健康发展。适时发布食品安全预警，有效预防和控制食品安全事故发生，从而保障社会公众的食品安全。</w:t>
      </w:r>
    </w:p>
    <w:p w:rsidR="00EE1571" w:rsidRPr="00D8376D" w:rsidRDefault="00BD0AB8">
      <w:pPr>
        <w:pStyle w:val="a5"/>
        <w:shd w:val="clear" w:color="auto" w:fill="FFFFFF"/>
        <w:spacing w:before="0" w:beforeAutospacing="0" w:after="0" w:afterAutospacing="0" w:line="540" w:lineRule="atLeast"/>
        <w:ind w:firstLineChars="200" w:firstLine="640"/>
        <w:rPr>
          <w:rFonts w:ascii="黑体" w:eastAsia="黑体" w:hAnsi="黑体"/>
          <w:color w:val="000000" w:themeColor="text1"/>
          <w:sz w:val="32"/>
          <w:szCs w:val="32"/>
        </w:rPr>
      </w:pPr>
      <w:r w:rsidRPr="00D8376D">
        <w:rPr>
          <w:rFonts w:ascii="黑体" w:eastAsia="黑体" w:hAnsi="黑体" w:hint="eastAsia"/>
          <w:color w:val="000000" w:themeColor="text1"/>
          <w:sz w:val="32"/>
          <w:szCs w:val="32"/>
        </w:rPr>
        <w:t>二、工作原则</w:t>
      </w:r>
    </w:p>
    <w:p w:rsidR="00EE1571" w:rsidRPr="00D8376D" w:rsidRDefault="00BD0AB8">
      <w:pPr>
        <w:pStyle w:val="a5"/>
        <w:shd w:val="clear" w:color="auto" w:fill="FFFFFF"/>
        <w:spacing w:before="0" w:beforeAutospacing="0" w:after="0" w:afterAutospacing="0" w:line="540" w:lineRule="atLeast"/>
        <w:ind w:firstLineChars="200" w:firstLine="640"/>
        <w:rPr>
          <w:rFonts w:ascii="仿宋_GB2312" w:eastAsia="仿宋_GB2312" w:hAnsi="微软雅黑"/>
          <w:color w:val="000000" w:themeColor="text1"/>
          <w:sz w:val="32"/>
          <w:szCs w:val="32"/>
        </w:rPr>
      </w:pPr>
      <w:r w:rsidRPr="00D8376D">
        <w:rPr>
          <w:rFonts w:ascii="楷体_GB2312" w:eastAsia="楷体_GB2312" w:hAnsi="微软雅黑" w:hint="eastAsia"/>
          <w:color w:val="000000" w:themeColor="text1"/>
          <w:sz w:val="32"/>
          <w:szCs w:val="32"/>
        </w:rPr>
        <w:t>（一）坚持问题导向。</w:t>
      </w:r>
      <w:r w:rsidRPr="00D8376D">
        <w:rPr>
          <w:rFonts w:ascii="仿宋_GB2312" w:eastAsia="仿宋_GB2312" w:hAnsi="微软雅黑" w:hint="eastAsia"/>
          <w:color w:val="000000" w:themeColor="text1"/>
          <w:sz w:val="32"/>
          <w:szCs w:val="32"/>
        </w:rPr>
        <w:t>监督抽检以发现问题、防控风险为基本原则。提高对高风险食品、低合格率食品和上年度抽检不合格单位的抽检频次，加大对农兽药残留、重金属残留、</w:t>
      </w:r>
      <w:r w:rsidRPr="00D8376D">
        <w:rPr>
          <w:rFonts w:ascii="仿宋_GB2312" w:eastAsia="仿宋_GB2312" w:hAnsi="微软雅黑" w:hint="eastAsia"/>
          <w:color w:val="000000" w:themeColor="text1"/>
          <w:sz w:val="32"/>
          <w:szCs w:val="32"/>
        </w:rPr>
        <w:lastRenderedPageBreak/>
        <w:t>生物毒素污染等指标的抽检力度，加强对农产品市场（门店）、学校食堂等重点区域的抽检，提高问题发现率。</w:t>
      </w:r>
    </w:p>
    <w:p w:rsidR="00EE1571" w:rsidRPr="00D8376D" w:rsidRDefault="00BD0AB8">
      <w:pPr>
        <w:pStyle w:val="a5"/>
        <w:shd w:val="clear" w:color="auto" w:fill="FFFFFF"/>
        <w:spacing w:before="0" w:beforeAutospacing="0" w:after="0" w:afterAutospacing="0" w:line="540" w:lineRule="atLeast"/>
        <w:ind w:firstLineChars="200" w:firstLine="640"/>
        <w:rPr>
          <w:rFonts w:ascii="仿宋_GB2312" w:eastAsia="仿宋_GB2312" w:hAnsi="微软雅黑"/>
          <w:color w:val="000000" w:themeColor="text1"/>
          <w:sz w:val="32"/>
          <w:szCs w:val="32"/>
        </w:rPr>
      </w:pPr>
      <w:r w:rsidRPr="00D8376D">
        <w:rPr>
          <w:rFonts w:ascii="楷体_GB2312" w:eastAsia="楷体_GB2312" w:hAnsi="微软雅黑" w:hint="eastAsia"/>
          <w:color w:val="000000" w:themeColor="text1"/>
          <w:sz w:val="32"/>
          <w:szCs w:val="32"/>
        </w:rPr>
        <w:t>（二）坚持广泛覆盖。</w:t>
      </w:r>
      <w:r w:rsidRPr="00D8376D">
        <w:rPr>
          <w:rFonts w:ascii="仿宋_GB2312" w:eastAsia="仿宋_GB2312" w:hAnsi="微软雅黑" w:hint="eastAsia"/>
          <w:color w:val="000000" w:themeColor="text1"/>
          <w:sz w:val="32"/>
          <w:szCs w:val="32"/>
        </w:rPr>
        <w:t>点面结合、统筹兼顾。努力实现监督抽检覆盖所有食品大类、品种和细类，覆盖在产获证食品生产企业，覆盖生产、流通、餐饮、食品摊贩等不同业态。</w:t>
      </w:r>
    </w:p>
    <w:p w:rsidR="00EE1571" w:rsidRPr="00D8376D" w:rsidRDefault="00BD0AB8">
      <w:pPr>
        <w:tabs>
          <w:tab w:val="left" w:pos="1890"/>
          <w:tab w:val="left" w:pos="3330"/>
        </w:tabs>
        <w:spacing w:line="600" w:lineRule="exact"/>
        <w:ind w:firstLineChars="200" w:firstLine="640"/>
        <w:rPr>
          <w:rFonts w:ascii="仿宋_GB2312" w:eastAsia="仿宋_GB2312"/>
          <w:color w:val="000000" w:themeColor="text1"/>
          <w:sz w:val="32"/>
          <w:szCs w:val="32"/>
        </w:rPr>
      </w:pPr>
      <w:r w:rsidRPr="00D8376D">
        <w:rPr>
          <w:rFonts w:ascii="楷体_GB2312" w:eastAsia="楷体_GB2312" w:hAnsi="微软雅黑" w:hint="eastAsia"/>
          <w:color w:val="000000" w:themeColor="text1"/>
          <w:sz w:val="32"/>
          <w:szCs w:val="32"/>
        </w:rPr>
        <w:t>（三）坚持抽检分离。</w:t>
      </w:r>
      <w:r w:rsidRPr="00D8376D">
        <w:rPr>
          <w:rFonts w:ascii="仿宋_GB2312" w:eastAsia="仿宋_GB2312" w:hint="eastAsia"/>
          <w:color w:val="000000" w:themeColor="text1"/>
          <w:sz w:val="32"/>
          <w:szCs w:val="32"/>
        </w:rPr>
        <w:t>严格落实《关于加强基层食品安全抽检能力规范化建设的通知》要求，常规性监督抽检任务全面推行“硬分离”模式，在“互联网+监管”执法平台随机确定抽样执法人员和被抽样企业或场所，由“执法人员+专业人员”开展抽样，食品承检机构负责检测。做好检管结合，各级食用农产品监督抽检任务</w:t>
      </w:r>
      <w:r w:rsidRPr="00D8376D">
        <w:rPr>
          <w:rFonts w:ascii="仿宋_GB2312" w:eastAsia="仿宋_GB2312"/>
          <w:color w:val="000000" w:themeColor="text1"/>
          <w:sz w:val="32"/>
          <w:szCs w:val="32"/>
        </w:rPr>
        <w:t>，应当不少于2名</w:t>
      </w:r>
      <w:r w:rsidRPr="00D8376D">
        <w:rPr>
          <w:rFonts w:ascii="仿宋_GB2312" w:eastAsia="仿宋_GB2312" w:hint="eastAsia"/>
          <w:color w:val="000000" w:themeColor="text1"/>
          <w:sz w:val="32"/>
          <w:szCs w:val="32"/>
        </w:rPr>
        <w:t>执法</w:t>
      </w:r>
      <w:r w:rsidRPr="00D8376D">
        <w:rPr>
          <w:rFonts w:ascii="仿宋_GB2312" w:eastAsia="仿宋_GB2312"/>
          <w:color w:val="000000" w:themeColor="text1"/>
          <w:sz w:val="32"/>
          <w:szCs w:val="32"/>
        </w:rPr>
        <w:t>人员现场参与抽样</w:t>
      </w:r>
      <w:r w:rsidRPr="00D8376D">
        <w:rPr>
          <w:rFonts w:ascii="仿宋_GB2312" w:eastAsia="仿宋_GB2312" w:hint="eastAsia"/>
          <w:color w:val="000000" w:themeColor="text1"/>
          <w:sz w:val="32"/>
          <w:szCs w:val="32"/>
        </w:rPr>
        <w:t>并签字。</w:t>
      </w:r>
    </w:p>
    <w:p w:rsidR="00EE1571" w:rsidRPr="00D8376D" w:rsidRDefault="00BD0AB8">
      <w:pPr>
        <w:pStyle w:val="a5"/>
        <w:shd w:val="clear" w:color="auto" w:fill="FFFFFF"/>
        <w:spacing w:before="0" w:beforeAutospacing="0" w:after="0" w:afterAutospacing="0" w:line="540" w:lineRule="atLeast"/>
        <w:ind w:firstLineChars="200" w:firstLine="640"/>
        <w:rPr>
          <w:rFonts w:ascii="仿宋_GB2312" w:eastAsia="仿宋_GB2312" w:hAnsi="微软雅黑"/>
          <w:color w:val="000000" w:themeColor="text1"/>
          <w:sz w:val="32"/>
          <w:szCs w:val="32"/>
        </w:rPr>
      </w:pPr>
      <w:r w:rsidRPr="00D8376D">
        <w:rPr>
          <w:rFonts w:ascii="楷体_GB2312" w:eastAsia="楷体_GB2312" w:hAnsi="微软雅黑" w:hint="eastAsia"/>
          <w:color w:val="000000" w:themeColor="text1"/>
          <w:sz w:val="32"/>
          <w:szCs w:val="32"/>
        </w:rPr>
        <w:t>（四）坚持检管结合。</w:t>
      </w:r>
      <w:r w:rsidRPr="00D8376D">
        <w:rPr>
          <w:rFonts w:ascii="仿宋_GB2312" w:eastAsia="仿宋_GB2312" w:hAnsi="微软雅黑" w:hint="eastAsia"/>
          <w:color w:val="000000" w:themeColor="text1"/>
          <w:sz w:val="32"/>
          <w:szCs w:val="32"/>
        </w:rPr>
        <w:t>配合日常监管、专项整治，聚焦舆情热点，及时组织开展专项监督抽检；结合飞行检查、体系检查等日常监管发现的问题，适时调整抽检任务；加强监督抽检与日常监管信息的互联共享，开展会商，联管联动。</w:t>
      </w:r>
    </w:p>
    <w:p w:rsidR="00EE1571" w:rsidRPr="00D8376D" w:rsidRDefault="00BD0AB8">
      <w:pPr>
        <w:pStyle w:val="a5"/>
        <w:shd w:val="clear" w:color="auto" w:fill="FFFFFF"/>
        <w:spacing w:before="0" w:beforeAutospacing="0" w:after="0" w:afterAutospacing="0" w:line="540" w:lineRule="atLeast"/>
        <w:ind w:firstLineChars="200" w:firstLine="640"/>
        <w:rPr>
          <w:rFonts w:ascii="黑体" w:eastAsia="黑体" w:hAnsi="黑体"/>
          <w:color w:val="000000" w:themeColor="text1"/>
          <w:sz w:val="32"/>
          <w:szCs w:val="32"/>
        </w:rPr>
      </w:pPr>
      <w:r w:rsidRPr="00D8376D">
        <w:rPr>
          <w:rFonts w:ascii="黑体" w:eastAsia="黑体" w:hAnsi="黑体" w:hint="eastAsia"/>
          <w:color w:val="000000" w:themeColor="text1"/>
          <w:sz w:val="32"/>
          <w:szCs w:val="32"/>
        </w:rPr>
        <w:t>三、工作内容</w:t>
      </w:r>
    </w:p>
    <w:p w:rsidR="00EE1571" w:rsidRPr="00D8376D" w:rsidRDefault="00BD0AB8">
      <w:pPr>
        <w:pStyle w:val="a5"/>
        <w:shd w:val="clear" w:color="auto" w:fill="FFFFFF"/>
        <w:spacing w:before="0" w:beforeAutospacing="0" w:after="0" w:afterAutospacing="0" w:line="540" w:lineRule="atLeast"/>
        <w:ind w:firstLineChars="200" w:firstLine="640"/>
        <w:rPr>
          <w:rFonts w:ascii="仿宋_GB2312" w:eastAsia="仿宋_GB2312" w:hAnsi="微软雅黑"/>
          <w:color w:val="000000" w:themeColor="text1"/>
          <w:sz w:val="32"/>
          <w:szCs w:val="32"/>
        </w:rPr>
      </w:pPr>
      <w:r w:rsidRPr="00D8376D">
        <w:rPr>
          <w:rFonts w:ascii="仿宋_GB2312" w:eastAsia="仿宋_GB2312" w:hAnsi="微软雅黑" w:hint="eastAsia"/>
          <w:color w:val="000000" w:themeColor="text1"/>
          <w:sz w:val="32"/>
          <w:szCs w:val="32"/>
        </w:rPr>
        <w:t>2023年滨江区本级食品安全抽检监测任务为2033批次。其中，区发改局（</w:t>
      </w:r>
      <w:r w:rsidR="00D8376D" w:rsidRPr="00D8376D">
        <w:rPr>
          <w:rFonts w:ascii="仿宋_GB2312" w:eastAsia="仿宋_GB2312" w:hAnsi="微软雅黑" w:hint="eastAsia"/>
          <w:color w:val="000000" w:themeColor="text1"/>
          <w:sz w:val="32"/>
          <w:szCs w:val="32"/>
        </w:rPr>
        <w:t>农业农村局</w:t>
      </w:r>
      <w:r w:rsidRPr="00D8376D">
        <w:rPr>
          <w:rFonts w:ascii="仿宋_GB2312" w:eastAsia="仿宋_GB2312" w:hAnsi="微软雅黑" w:hint="eastAsia"/>
          <w:color w:val="000000" w:themeColor="text1"/>
          <w:sz w:val="32"/>
          <w:szCs w:val="32"/>
        </w:rPr>
        <w:t>）负责开展农产品源头抽检监测工作，完成监督抽检25批次，风险监测25批次。市场监管局负责开展食品生产加工环节、流通环节、餐饮服务环节和“你点我检”食品抽检工作，完成监督抽检1733批次，</w:t>
      </w:r>
      <w:r w:rsidRPr="00D8376D">
        <w:rPr>
          <w:rFonts w:ascii="仿宋_GB2312" w:eastAsia="仿宋_GB2312" w:hAnsi="微软雅黑" w:hint="eastAsia"/>
          <w:color w:val="000000" w:themeColor="text1"/>
          <w:sz w:val="32"/>
          <w:szCs w:val="32"/>
        </w:rPr>
        <w:lastRenderedPageBreak/>
        <w:t>涵盖34个食品品类。其中，生产加工环节50批次，流通环节日常抽检983批次（含食用农产品监督抽检866批次，主要针对农药兽药残留），餐饮服务环节400批次，“你点我检”抽检80批次，专项抽检220批次。卫生健康局负责开展生产经营环节食品安全风险监测，完成风险监测250批次（具体安排详见附件）。</w:t>
      </w:r>
    </w:p>
    <w:p w:rsidR="00EE1571" w:rsidRPr="00D8376D" w:rsidRDefault="00BD0AB8">
      <w:pPr>
        <w:pStyle w:val="a5"/>
        <w:shd w:val="clear" w:color="auto" w:fill="FFFFFF"/>
        <w:spacing w:before="0" w:beforeAutospacing="0" w:after="0" w:afterAutospacing="0" w:line="540" w:lineRule="atLeast"/>
        <w:ind w:firstLineChars="200" w:firstLine="640"/>
        <w:rPr>
          <w:rFonts w:ascii="黑体" w:eastAsia="黑体" w:hAnsi="黑体"/>
          <w:color w:val="000000" w:themeColor="text1"/>
          <w:sz w:val="32"/>
          <w:szCs w:val="32"/>
        </w:rPr>
      </w:pPr>
      <w:r w:rsidRPr="00D8376D">
        <w:rPr>
          <w:rFonts w:ascii="黑体" w:eastAsia="黑体" w:hAnsi="黑体" w:hint="eastAsia"/>
          <w:color w:val="000000" w:themeColor="text1"/>
          <w:sz w:val="32"/>
          <w:szCs w:val="32"/>
        </w:rPr>
        <w:t>四、工作重点</w:t>
      </w:r>
    </w:p>
    <w:p w:rsidR="00EE1571" w:rsidRPr="00D8376D" w:rsidRDefault="00BD0AB8">
      <w:pPr>
        <w:pStyle w:val="a5"/>
        <w:shd w:val="clear" w:color="auto" w:fill="FFFFFF"/>
        <w:spacing w:before="0" w:beforeAutospacing="0" w:after="0" w:afterAutospacing="0" w:line="540" w:lineRule="atLeast"/>
        <w:ind w:firstLineChars="200" w:firstLine="640"/>
        <w:rPr>
          <w:rFonts w:ascii="仿宋_GB2312" w:eastAsia="仿宋_GB2312" w:hAnsi="微软雅黑"/>
          <w:color w:val="000000" w:themeColor="text1"/>
          <w:sz w:val="32"/>
          <w:szCs w:val="32"/>
        </w:rPr>
      </w:pPr>
      <w:r w:rsidRPr="00D8376D">
        <w:rPr>
          <w:rFonts w:ascii="楷体_GB2312" w:eastAsia="楷体_GB2312" w:hAnsi="微软雅黑" w:hint="eastAsia"/>
          <w:color w:val="000000" w:themeColor="text1"/>
          <w:sz w:val="32"/>
          <w:szCs w:val="32"/>
        </w:rPr>
        <w:t>（一）重点时段。</w:t>
      </w:r>
      <w:r w:rsidRPr="00D8376D">
        <w:rPr>
          <w:rFonts w:ascii="仿宋_GB2312" w:eastAsia="仿宋_GB2312" w:hAnsi="微软雅黑" w:hint="eastAsia"/>
          <w:color w:val="000000" w:themeColor="text1"/>
          <w:sz w:val="32"/>
          <w:szCs w:val="32"/>
        </w:rPr>
        <w:t>以元旦、春节、清明、端午、中秋等节假日为监督抽检重点时段。</w:t>
      </w:r>
    </w:p>
    <w:p w:rsidR="00EE1571" w:rsidRPr="00D8376D" w:rsidRDefault="00BD0AB8">
      <w:pPr>
        <w:pStyle w:val="a5"/>
        <w:shd w:val="clear" w:color="auto" w:fill="FFFFFF"/>
        <w:spacing w:before="0" w:beforeAutospacing="0" w:after="0" w:afterAutospacing="0" w:line="540" w:lineRule="atLeast"/>
        <w:ind w:firstLineChars="200" w:firstLine="640"/>
        <w:rPr>
          <w:rFonts w:ascii="仿宋_GB2312" w:eastAsia="仿宋_GB2312" w:hAnsi="微软雅黑"/>
          <w:color w:val="000000" w:themeColor="text1"/>
          <w:sz w:val="32"/>
          <w:szCs w:val="32"/>
        </w:rPr>
      </w:pPr>
      <w:r w:rsidRPr="00D8376D">
        <w:rPr>
          <w:rFonts w:ascii="楷体_GB2312" w:eastAsia="楷体_GB2312" w:hAnsi="微软雅黑" w:hint="eastAsia"/>
          <w:color w:val="000000" w:themeColor="text1"/>
          <w:sz w:val="32"/>
          <w:szCs w:val="32"/>
        </w:rPr>
        <w:t>（二）重点区域。</w:t>
      </w:r>
      <w:r w:rsidRPr="00D8376D">
        <w:rPr>
          <w:rFonts w:ascii="仿宋_GB2312" w:eastAsia="仿宋_GB2312" w:hAnsi="微软雅黑" w:hint="eastAsia"/>
          <w:color w:val="000000" w:themeColor="text1"/>
          <w:sz w:val="32"/>
          <w:szCs w:val="32"/>
        </w:rPr>
        <w:t>以校园周边食杂店、学校食堂、餐饮服务单位、农贸市场、果蔬直营店等为监督抽检重点区域。</w:t>
      </w:r>
    </w:p>
    <w:p w:rsidR="00EE1571" w:rsidRPr="00D8376D" w:rsidRDefault="00BD0AB8">
      <w:pPr>
        <w:pStyle w:val="a5"/>
        <w:shd w:val="clear" w:color="auto" w:fill="FFFFFF"/>
        <w:spacing w:before="0" w:beforeAutospacing="0" w:after="0" w:afterAutospacing="0" w:line="540" w:lineRule="atLeast"/>
        <w:ind w:firstLineChars="200" w:firstLine="640"/>
        <w:rPr>
          <w:rFonts w:ascii="仿宋_GB2312" w:eastAsia="仿宋_GB2312" w:hAnsi="微软雅黑"/>
          <w:color w:val="000000" w:themeColor="text1"/>
          <w:sz w:val="32"/>
          <w:szCs w:val="32"/>
        </w:rPr>
      </w:pPr>
      <w:r w:rsidRPr="00D8376D">
        <w:rPr>
          <w:rFonts w:ascii="楷体_GB2312" w:eastAsia="楷体_GB2312" w:hAnsi="微软雅黑" w:hint="eastAsia"/>
          <w:color w:val="000000" w:themeColor="text1"/>
          <w:sz w:val="32"/>
          <w:szCs w:val="32"/>
        </w:rPr>
        <w:t>（三）重点对象。</w:t>
      </w:r>
      <w:r w:rsidRPr="00D8376D">
        <w:rPr>
          <w:rFonts w:ascii="仿宋_GB2312" w:eastAsia="仿宋_GB2312" w:hAnsi="微软雅黑" w:hint="eastAsia"/>
          <w:color w:val="000000" w:themeColor="text1"/>
          <w:sz w:val="32"/>
          <w:szCs w:val="32"/>
        </w:rPr>
        <w:t>辖区内销售的蔬菜、水果、畜禽肉、水产品、鲜蛋等食用农产品。适当加大对地产食品、小餐饮的抽检力度。</w:t>
      </w:r>
    </w:p>
    <w:p w:rsidR="00EE1571" w:rsidRPr="00D8376D" w:rsidRDefault="00BD0AB8">
      <w:pPr>
        <w:pStyle w:val="a5"/>
        <w:shd w:val="clear" w:color="auto" w:fill="FFFFFF"/>
        <w:spacing w:before="0" w:beforeAutospacing="0" w:after="0" w:afterAutospacing="0" w:line="540" w:lineRule="atLeast"/>
        <w:ind w:firstLineChars="200" w:firstLine="640"/>
        <w:rPr>
          <w:rFonts w:ascii="仿宋_GB2312" w:eastAsia="仿宋_GB2312" w:hAnsi="微软雅黑"/>
          <w:color w:val="000000" w:themeColor="text1"/>
          <w:sz w:val="32"/>
          <w:szCs w:val="32"/>
        </w:rPr>
      </w:pPr>
      <w:r w:rsidRPr="00D8376D">
        <w:rPr>
          <w:rFonts w:ascii="楷体_GB2312" w:eastAsia="楷体_GB2312" w:hAnsi="微软雅黑" w:hint="eastAsia"/>
          <w:color w:val="000000" w:themeColor="text1"/>
          <w:sz w:val="32"/>
          <w:szCs w:val="32"/>
        </w:rPr>
        <w:t>（四）重点品种。</w:t>
      </w:r>
      <w:r w:rsidRPr="00D8376D">
        <w:rPr>
          <w:rFonts w:ascii="仿宋_GB2312" w:eastAsia="仿宋_GB2312" w:hAnsi="微软雅黑" w:hint="eastAsia"/>
          <w:color w:val="000000" w:themeColor="text1"/>
          <w:sz w:val="32"/>
          <w:szCs w:val="32"/>
        </w:rPr>
        <w:t>食用农产品：蔬菜、水果、畜禽肉、水产品、鲜蛋等《食用农产品“治违禁控药残促提升”三年行动方案》中明确的18种食用农产品；流通环节：肉制品、酒类、糕点、速冻食品、食用植物油、粮食加工品、豆制品、现场制售食品等为抽检重点品种。餐饮环节：以餐饮具、熟肉制品、煎炸油、火锅调味料、发酵面制品等为重点抽检品种。</w:t>
      </w:r>
    </w:p>
    <w:p w:rsidR="00EE1571" w:rsidRPr="00D8376D" w:rsidRDefault="00BD0AB8">
      <w:pPr>
        <w:pStyle w:val="a5"/>
        <w:shd w:val="clear" w:color="auto" w:fill="FFFFFF"/>
        <w:spacing w:before="0" w:beforeAutospacing="0" w:after="0" w:afterAutospacing="0" w:line="540" w:lineRule="atLeast"/>
        <w:ind w:firstLineChars="200" w:firstLine="640"/>
        <w:rPr>
          <w:rFonts w:ascii="黑体" w:eastAsia="黑体" w:hAnsi="黑体"/>
          <w:color w:val="000000" w:themeColor="text1"/>
          <w:sz w:val="32"/>
          <w:szCs w:val="32"/>
        </w:rPr>
      </w:pPr>
      <w:r w:rsidRPr="00D8376D">
        <w:rPr>
          <w:rFonts w:ascii="黑体" w:eastAsia="黑体" w:hAnsi="黑体" w:hint="eastAsia"/>
          <w:color w:val="000000" w:themeColor="text1"/>
          <w:sz w:val="32"/>
          <w:szCs w:val="32"/>
        </w:rPr>
        <w:t>五、工作要求</w:t>
      </w:r>
    </w:p>
    <w:p w:rsidR="00EE1571" w:rsidRPr="00D8376D" w:rsidRDefault="00BD0AB8">
      <w:pPr>
        <w:pStyle w:val="a5"/>
        <w:shd w:val="clear" w:color="auto" w:fill="FFFFFF"/>
        <w:spacing w:before="0" w:beforeAutospacing="0" w:after="0" w:afterAutospacing="0" w:line="540" w:lineRule="atLeast"/>
        <w:ind w:firstLineChars="200" w:firstLine="640"/>
        <w:rPr>
          <w:rFonts w:ascii="仿宋_GB2312" w:eastAsia="仿宋_GB2312" w:hAnsi="微软雅黑"/>
          <w:color w:val="000000" w:themeColor="text1"/>
          <w:sz w:val="32"/>
          <w:szCs w:val="32"/>
        </w:rPr>
      </w:pPr>
      <w:r w:rsidRPr="00D8376D">
        <w:rPr>
          <w:rFonts w:ascii="楷体_GB2312" w:eastAsia="楷体_GB2312" w:hAnsi="微软雅黑" w:hint="eastAsia"/>
          <w:color w:val="000000" w:themeColor="text1"/>
          <w:sz w:val="32"/>
          <w:szCs w:val="32"/>
        </w:rPr>
        <w:lastRenderedPageBreak/>
        <w:t>（一）突出监管重点。</w:t>
      </w:r>
      <w:r w:rsidRPr="00D8376D">
        <w:rPr>
          <w:rFonts w:ascii="仿宋_GB2312" w:eastAsia="仿宋_GB2312" w:hAnsi="微软雅黑" w:hint="eastAsia"/>
          <w:color w:val="000000" w:themeColor="text1"/>
          <w:sz w:val="32"/>
          <w:szCs w:val="32"/>
        </w:rPr>
        <w:t>及时汇总分析辖区检验情况，科学安排检验任务，合理整合资源，尽量避免重复抽检。适当增加对重点对象、重点行业、重点区域、重点品种食品的监督抽检品种和批次，同时结合省、市局有关专项整治工作要求组织开展监督抽检工作。</w:t>
      </w:r>
    </w:p>
    <w:p w:rsidR="00EE1571" w:rsidRPr="00D8376D" w:rsidRDefault="00BD0AB8">
      <w:pPr>
        <w:pStyle w:val="a5"/>
        <w:shd w:val="clear" w:color="auto" w:fill="FFFFFF"/>
        <w:spacing w:before="0" w:beforeAutospacing="0" w:after="0" w:afterAutospacing="0" w:line="540" w:lineRule="atLeast"/>
        <w:ind w:firstLine="480"/>
        <w:rPr>
          <w:rFonts w:ascii="仿宋_GB2312" w:eastAsia="仿宋_GB2312" w:hAnsi="微软雅黑"/>
          <w:color w:val="000000" w:themeColor="text1"/>
          <w:sz w:val="32"/>
          <w:szCs w:val="32"/>
        </w:rPr>
      </w:pPr>
      <w:r w:rsidRPr="00D8376D">
        <w:rPr>
          <w:rFonts w:ascii="楷体_GB2312" w:eastAsia="楷体_GB2312" w:hAnsi="微软雅黑" w:hint="eastAsia"/>
          <w:color w:val="000000" w:themeColor="text1"/>
          <w:sz w:val="32"/>
          <w:szCs w:val="32"/>
        </w:rPr>
        <w:t>（二）加强工作协作。</w:t>
      </w:r>
      <w:r w:rsidRPr="00D8376D">
        <w:rPr>
          <w:rFonts w:ascii="仿宋_GB2312" w:eastAsia="仿宋_GB2312" w:hAnsi="微软雅黑" w:hint="eastAsia"/>
          <w:color w:val="000000" w:themeColor="text1"/>
          <w:sz w:val="32"/>
          <w:szCs w:val="32"/>
        </w:rPr>
        <w:t>对于局下达的抽检任务，各科、所、大队应指定专人负责配合，按要求在规定时间内具体实施。各科、所、大队对本辖区内问题比较集中或在投诉举报处置过程中需要单独开展抽检的且在我局抽检方案中的品种，应当提前3个工作日将需抽检品种及批次报局食品综合协调科，科室根据工作需要及时进行安排。</w:t>
      </w:r>
    </w:p>
    <w:p w:rsidR="00EE1571" w:rsidRPr="00D8376D" w:rsidRDefault="00BD0AB8">
      <w:pPr>
        <w:tabs>
          <w:tab w:val="left" w:pos="1890"/>
          <w:tab w:val="left" w:pos="3330"/>
        </w:tabs>
        <w:spacing w:line="600" w:lineRule="exact"/>
        <w:ind w:firstLineChars="200" w:firstLine="640"/>
        <w:rPr>
          <w:rFonts w:ascii="仿宋" w:eastAsia="仿宋" w:hAnsi="仿宋"/>
          <w:color w:val="000000" w:themeColor="text1"/>
          <w:sz w:val="32"/>
          <w:szCs w:val="32"/>
        </w:rPr>
      </w:pPr>
      <w:r w:rsidRPr="00D8376D">
        <w:rPr>
          <w:rFonts w:ascii="楷体_GB2312" w:eastAsia="楷体_GB2312" w:hAnsi="微软雅黑" w:hint="eastAsia"/>
          <w:color w:val="000000" w:themeColor="text1"/>
          <w:sz w:val="32"/>
          <w:szCs w:val="32"/>
        </w:rPr>
        <w:t>（三）确保处置到位。</w:t>
      </w:r>
      <w:r w:rsidRPr="00D8376D">
        <w:rPr>
          <w:rFonts w:ascii="仿宋_GB2312" w:eastAsia="仿宋_GB2312" w:hAnsi="微软雅黑" w:cs="宋体" w:hint="eastAsia"/>
          <w:color w:val="000000" w:themeColor="text1"/>
          <w:kern w:val="0"/>
          <w:sz w:val="32"/>
          <w:szCs w:val="32"/>
        </w:rPr>
        <w:t>各监督抽检不合格处置单位，应严格按照《关于印发杭州市食品安全监督抽检闭合管理工作办法的通知》（杭市管〔2020〕36号）要求，依法依规进行处置。一是要严格依照</w:t>
      </w:r>
      <w:r w:rsidR="004C3B84">
        <w:rPr>
          <w:rFonts w:ascii="仿宋_GB2312" w:eastAsia="仿宋_GB2312" w:hAnsi="微软雅黑" w:cs="宋体" w:hint="eastAsia"/>
          <w:color w:val="000000" w:themeColor="text1"/>
          <w:kern w:val="0"/>
          <w:sz w:val="32"/>
          <w:szCs w:val="32"/>
        </w:rPr>
        <w:t>《中华人民共和国食品安全法》</w:t>
      </w:r>
      <w:r w:rsidRPr="00D8376D">
        <w:rPr>
          <w:rFonts w:ascii="仿宋_GB2312" w:eastAsia="仿宋_GB2312" w:hAnsi="微软雅黑" w:cs="宋体" w:hint="eastAsia"/>
          <w:color w:val="000000" w:themeColor="text1"/>
          <w:kern w:val="0"/>
          <w:sz w:val="32"/>
          <w:szCs w:val="32"/>
        </w:rPr>
        <w:t>等法律法规的规定，对不合格食品的生产经营者该立案的要立案、该处罚的要处罚、该移送的要移送。特别是要注重行刑衔接，对于发现水产品中检出孔雀石绿、小龙虾中检出罂粟碱等添加非食用物质的情况，一律移送司法机关；二是</w:t>
      </w:r>
      <w:r w:rsidRPr="00D8376D">
        <w:rPr>
          <w:rFonts w:ascii="仿宋_GB2312" w:eastAsia="仿宋_GB2312" w:hAnsi="黑体" w:hint="eastAsia"/>
          <w:b/>
          <w:color w:val="000000" w:themeColor="text1"/>
          <w:sz w:val="32"/>
          <w:szCs w:val="32"/>
        </w:rPr>
        <w:t>“国家食品安全抽样检验信息系统”不合格食品处置，主办单位要做到第一时间领办、及时启动、90日内处置闭环，努力提高80日内办结率；</w:t>
      </w:r>
    </w:p>
    <w:p w:rsidR="00EE1571" w:rsidRPr="00D8376D" w:rsidRDefault="00BD0AB8">
      <w:pPr>
        <w:tabs>
          <w:tab w:val="left" w:pos="1890"/>
          <w:tab w:val="left" w:pos="3330"/>
        </w:tabs>
        <w:spacing w:line="600" w:lineRule="exact"/>
        <w:ind w:firstLineChars="200" w:firstLine="640"/>
        <w:rPr>
          <w:rFonts w:ascii="仿宋_GB2312" w:eastAsia="仿宋_GB2312" w:hAnsi="微软雅黑"/>
          <w:color w:val="000000" w:themeColor="text1"/>
          <w:sz w:val="32"/>
          <w:szCs w:val="32"/>
        </w:rPr>
      </w:pPr>
      <w:r w:rsidRPr="00D8376D">
        <w:rPr>
          <w:rFonts w:ascii="楷体_GB2312" w:eastAsia="楷体_GB2312" w:hAnsi="微软雅黑" w:hint="eastAsia"/>
          <w:color w:val="000000" w:themeColor="text1"/>
          <w:sz w:val="32"/>
          <w:szCs w:val="32"/>
        </w:rPr>
        <w:lastRenderedPageBreak/>
        <w:t>（四）做好信息公布。</w:t>
      </w:r>
      <w:r w:rsidRPr="00D8376D">
        <w:rPr>
          <w:rFonts w:ascii="仿宋_GB2312" w:eastAsia="仿宋_GB2312" w:hAnsi="微软雅黑" w:hint="eastAsia"/>
          <w:color w:val="000000" w:themeColor="text1"/>
          <w:sz w:val="32"/>
          <w:szCs w:val="32"/>
        </w:rPr>
        <w:t>完善周提醒、月通报、季督查和“三级”提醒制度，加强浙政钉“数据晾晒台”的日常使用。食品综合协调科应及时准确汇总产品抽检、风险控制、核查处置等信息，报局主要审批后在区人民政府门户网站、局公众号等平台中进行公示。在信息未发布之前，其他任何单位和个人不得擅自对外泄露和发布。</w:t>
      </w:r>
    </w:p>
    <w:p w:rsidR="00EE1571" w:rsidRPr="00D8376D" w:rsidRDefault="00BD0AB8">
      <w:pPr>
        <w:tabs>
          <w:tab w:val="left" w:pos="1890"/>
          <w:tab w:val="left" w:pos="3330"/>
        </w:tabs>
        <w:spacing w:line="600" w:lineRule="exact"/>
        <w:ind w:leftChars="228" w:left="479" w:firstLineChars="50" w:firstLine="160"/>
        <w:rPr>
          <w:rFonts w:ascii="仿宋_GB2312" w:eastAsia="仿宋_GB2312"/>
          <w:color w:val="000000" w:themeColor="text1"/>
          <w:sz w:val="32"/>
          <w:szCs w:val="32"/>
        </w:rPr>
      </w:pPr>
      <w:r w:rsidRPr="00D8376D">
        <w:rPr>
          <w:rFonts w:ascii="仿宋_GB2312" w:eastAsia="仿宋_GB2312" w:hAnsi="微软雅黑" w:hint="eastAsia"/>
          <w:color w:val="000000" w:themeColor="text1"/>
          <w:sz w:val="32"/>
          <w:szCs w:val="32"/>
        </w:rPr>
        <w:t>附件1、2023年滨江区食品安全抽检监测任务分解表</w:t>
      </w:r>
    </w:p>
    <w:p w:rsidR="00EE1571" w:rsidRPr="00D8376D" w:rsidRDefault="00BD0AB8" w:rsidP="008539BB">
      <w:pPr>
        <w:tabs>
          <w:tab w:val="left" w:pos="1890"/>
          <w:tab w:val="left" w:pos="3330"/>
        </w:tabs>
        <w:spacing w:line="600" w:lineRule="exact"/>
        <w:ind w:firstLineChars="450" w:firstLine="1440"/>
        <w:rPr>
          <w:rFonts w:ascii="仿宋_GB2312" w:eastAsia="仿宋_GB2312" w:hAnsi="微软雅黑"/>
          <w:color w:val="000000" w:themeColor="text1"/>
          <w:sz w:val="32"/>
          <w:szCs w:val="32"/>
        </w:rPr>
      </w:pPr>
      <w:r w:rsidRPr="00D8376D">
        <w:rPr>
          <w:rFonts w:ascii="仿宋_GB2312" w:eastAsia="仿宋_GB2312" w:hint="eastAsia"/>
          <w:color w:val="000000" w:themeColor="text1"/>
          <w:sz w:val="32"/>
          <w:szCs w:val="32"/>
        </w:rPr>
        <w:t>2、区市场监管局</w:t>
      </w:r>
      <w:r w:rsidRPr="00D8376D">
        <w:rPr>
          <w:rFonts w:ascii="仿宋_GB2312" w:eastAsia="仿宋_GB2312" w:hAnsi="微软雅黑" w:hint="eastAsia"/>
          <w:color w:val="000000" w:themeColor="text1"/>
          <w:sz w:val="32"/>
          <w:szCs w:val="32"/>
        </w:rPr>
        <w:t>各科所抽检工作职责</w:t>
      </w:r>
    </w:p>
    <w:p w:rsidR="00EE1571" w:rsidRPr="00D8376D" w:rsidRDefault="00BD0AB8">
      <w:pPr>
        <w:widowControl/>
        <w:jc w:val="left"/>
        <w:rPr>
          <w:rFonts w:ascii="仿宋_GB2312" w:eastAsia="仿宋_GB2312"/>
          <w:color w:val="000000" w:themeColor="text1"/>
          <w:sz w:val="32"/>
          <w:szCs w:val="32"/>
        </w:rPr>
      </w:pPr>
      <w:r w:rsidRPr="00D8376D">
        <w:rPr>
          <w:rFonts w:ascii="仿宋_GB2312" w:eastAsia="仿宋_GB2312" w:hAnsi="微软雅黑" w:hint="eastAsia"/>
          <w:color w:val="000000" w:themeColor="text1"/>
          <w:sz w:val="32"/>
          <w:szCs w:val="32"/>
        </w:rPr>
        <w:t xml:space="preserve">      </w:t>
      </w:r>
      <w:r w:rsidR="008539BB" w:rsidRPr="00D8376D">
        <w:rPr>
          <w:rFonts w:ascii="仿宋_GB2312" w:eastAsia="仿宋_GB2312" w:hAnsi="微软雅黑" w:hint="eastAsia"/>
          <w:color w:val="000000" w:themeColor="text1"/>
          <w:sz w:val="32"/>
          <w:szCs w:val="32"/>
        </w:rPr>
        <w:t xml:space="preserve"> </w:t>
      </w:r>
      <w:r w:rsidRPr="00D8376D">
        <w:rPr>
          <w:rFonts w:ascii="仿宋_GB2312" w:eastAsia="仿宋_GB2312" w:hAnsi="微软雅黑" w:hint="eastAsia"/>
          <w:color w:val="000000" w:themeColor="text1"/>
          <w:sz w:val="32"/>
          <w:szCs w:val="32"/>
        </w:rPr>
        <w:t xml:space="preserve">  3、</w:t>
      </w:r>
      <w:r w:rsidRPr="00D8376D">
        <w:rPr>
          <w:rFonts w:ascii="仿宋_GB2312" w:eastAsia="仿宋_GB2312" w:hint="eastAsia"/>
          <w:color w:val="000000" w:themeColor="text1"/>
          <w:sz w:val="32"/>
          <w:szCs w:val="32"/>
        </w:rPr>
        <w:t>区市场监管局抽样队名单</w:t>
      </w:r>
    </w:p>
    <w:p w:rsidR="00EE1571" w:rsidRPr="00D8376D" w:rsidRDefault="00BD0AB8">
      <w:pPr>
        <w:tabs>
          <w:tab w:val="left" w:pos="1890"/>
          <w:tab w:val="left" w:pos="3330"/>
        </w:tabs>
        <w:spacing w:line="600" w:lineRule="exact"/>
        <w:ind w:firstLineChars="200" w:firstLine="640"/>
        <w:rPr>
          <w:rFonts w:ascii="仿宋_GB2312" w:eastAsia="仿宋_GB2312" w:hAnsi="微软雅黑"/>
          <w:color w:val="000000" w:themeColor="text1"/>
          <w:sz w:val="32"/>
          <w:szCs w:val="32"/>
        </w:rPr>
      </w:pPr>
      <w:r w:rsidRPr="00D8376D">
        <w:rPr>
          <w:rFonts w:ascii="仿宋_GB2312" w:eastAsia="仿宋_GB2312" w:hAnsi="微软雅黑"/>
          <w:color w:val="000000" w:themeColor="text1"/>
          <w:sz w:val="32"/>
          <w:szCs w:val="32"/>
        </w:rPr>
        <w:br w:type="page"/>
      </w:r>
    </w:p>
    <w:p w:rsidR="00EE1571" w:rsidRPr="00D8376D" w:rsidRDefault="00BD0AB8">
      <w:pPr>
        <w:rPr>
          <w:rFonts w:ascii="黑体" w:eastAsia="黑体" w:hAnsi="黑体"/>
          <w:color w:val="000000" w:themeColor="text1"/>
          <w:sz w:val="32"/>
          <w:szCs w:val="32"/>
        </w:rPr>
      </w:pPr>
      <w:r w:rsidRPr="00D8376D">
        <w:rPr>
          <w:rFonts w:ascii="黑体" w:eastAsia="黑体" w:hAnsi="黑体" w:hint="eastAsia"/>
          <w:color w:val="000000" w:themeColor="text1"/>
          <w:sz w:val="32"/>
          <w:szCs w:val="32"/>
        </w:rPr>
        <w:lastRenderedPageBreak/>
        <w:t>附件1：</w:t>
      </w:r>
    </w:p>
    <w:p w:rsidR="00EE1571" w:rsidRPr="00D8376D" w:rsidRDefault="00BD0AB8">
      <w:pPr>
        <w:ind w:firstLineChars="50" w:firstLine="160"/>
        <w:jc w:val="center"/>
        <w:rPr>
          <w:rFonts w:ascii="黑体" w:eastAsia="黑体" w:hAnsi="黑体" w:cs="Times New Roman"/>
          <w:color w:val="000000" w:themeColor="text1"/>
          <w:sz w:val="32"/>
          <w:szCs w:val="32"/>
        </w:rPr>
      </w:pPr>
      <w:r w:rsidRPr="00D8376D">
        <w:rPr>
          <w:rFonts w:ascii="黑体" w:eastAsia="黑体" w:hAnsi="黑体" w:cs="Times New Roman" w:hint="eastAsia"/>
          <w:color w:val="000000" w:themeColor="text1"/>
          <w:sz w:val="32"/>
          <w:szCs w:val="32"/>
        </w:rPr>
        <w:t>2023年滨江区食品安全抽检监测任务分解表</w:t>
      </w:r>
    </w:p>
    <w:tbl>
      <w:tblPr>
        <w:tblStyle w:val="a6"/>
        <w:tblpPr w:leftFromText="180" w:rightFromText="180" w:vertAnchor="text" w:horzAnchor="margin" w:tblpY="164"/>
        <w:tblW w:w="8748" w:type="dxa"/>
        <w:tblLayout w:type="fixed"/>
        <w:tblLook w:val="04A0"/>
      </w:tblPr>
      <w:tblGrid>
        <w:gridCol w:w="2628"/>
        <w:gridCol w:w="3009"/>
        <w:gridCol w:w="3111"/>
      </w:tblGrid>
      <w:tr w:rsidR="00EE1571" w:rsidRPr="00D8376D">
        <w:trPr>
          <w:trHeight w:val="770"/>
        </w:trPr>
        <w:tc>
          <w:tcPr>
            <w:tcW w:w="2628" w:type="dxa"/>
            <w:tcBorders>
              <w:tl2br w:val="single" w:sz="4" w:space="0" w:color="auto"/>
            </w:tcBorders>
          </w:tcPr>
          <w:p w:rsidR="00EE1571" w:rsidRPr="00D8376D" w:rsidRDefault="00BD0AB8">
            <w:pPr>
              <w:ind w:firstLineChars="450" w:firstLine="1440"/>
              <w:rPr>
                <w:rFonts w:ascii="仿宋_GB2312" w:eastAsia="仿宋_GB2312" w:hAnsi="华文宋体"/>
                <w:color w:val="000000" w:themeColor="text1"/>
                <w:kern w:val="0"/>
                <w:sz w:val="32"/>
                <w:szCs w:val="32"/>
              </w:rPr>
            </w:pPr>
            <w:r w:rsidRPr="00D8376D">
              <w:rPr>
                <w:rFonts w:ascii="仿宋_GB2312" w:eastAsia="仿宋_GB2312" w:hAnsi="华文宋体" w:hint="eastAsia"/>
                <w:color w:val="000000" w:themeColor="text1"/>
                <w:kern w:val="0"/>
                <w:sz w:val="32"/>
                <w:szCs w:val="32"/>
              </w:rPr>
              <w:t>类别</w:t>
            </w:r>
          </w:p>
          <w:p w:rsidR="00EE1571" w:rsidRPr="00D8376D" w:rsidRDefault="00BD0AB8">
            <w:pPr>
              <w:rPr>
                <w:rFonts w:ascii="仿宋_GB2312" w:eastAsia="仿宋_GB2312" w:hAnsi="华文宋体"/>
                <w:color w:val="000000" w:themeColor="text1"/>
                <w:kern w:val="0"/>
                <w:sz w:val="32"/>
                <w:szCs w:val="32"/>
              </w:rPr>
            </w:pPr>
            <w:r w:rsidRPr="00D8376D">
              <w:rPr>
                <w:rFonts w:ascii="仿宋_GB2312" w:eastAsia="仿宋_GB2312" w:hAnsi="华文宋体" w:hint="eastAsia"/>
                <w:color w:val="000000" w:themeColor="text1"/>
                <w:kern w:val="0"/>
                <w:sz w:val="32"/>
                <w:szCs w:val="32"/>
              </w:rPr>
              <w:t>部门</w:t>
            </w:r>
          </w:p>
        </w:tc>
        <w:tc>
          <w:tcPr>
            <w:tcW w:w="3009" w:type="dxa"/>
            <w:vAlign w:val="center"/>
          </w:tcPr>
          <w:p w:rsidR="00EE1571" w:rsidRPr="00D8376D" w:rsidRDefault="00BD0AB8">
            <w:pPr>
              <w:rPr>
                <w:rFonts w:ascii="仿宋_GB2312" w:eastAsia="仿宋_GB2312" w:hAnsi="华文宋体"/>
                <w:color w:val="000000" w:themeColor="text1"/>
                <w:kern w:val="0"/>
                <w:sz w:val="32"/>
                <w:szCs w:val="32"/>
              </w:rPr>
            </w:pPr>
            <w:r w:rsidRPr="00D8376D">
              <w:rPr>
                <w:rFonts w:ascii="仿宋_GB2312" w:eastAsia="仿宋_GB2312" w:hAnsi="华文宋体" w:hint="eastAsia"/>
                <w:color w:val="000000" w:themeColor="text1"/>
                <w:kern w:val="0"/>
                <w:sz w:val="32"/>
                <w:szCs w:val="32"/>
              </w:rPr>
              <w:t>监督检测（批次）</w:t>
            </w:r>
          </w:p>
        </w:tc>
        <w:tc>
          <w:tcPr>
            <w:tcW w:w="3111" w:type="dxa"/>
            <w:vAlign w:val="center"/>
          </w:tcPr>
          <w:p w:rsidR="00EE1571" w:rsidRPr="00D8376D" w:rsidRDefault="00BD0AB8">
            <w:pPr>
              <w:rPr>
                <w:rFonts w:ascii="仿宋_GB2312" w:eastAsia="仿宋_GB2312" w:hAnsi="华文宋体"/>
                <w:color w:val="000000" w:themeColor="text1"/>
                <w:kern w:val="0"/>
                <w:sz w:val="32"/>
                <w:szCs w:val="32"/>
              </w:rPr>
            </w:pPr>
            <w:r w:rsidRPr="00D8376D">
              <w:rPr>
                <w:rFonts w:ascii="仿宋_GB2312" w:eastAsia="仿宋_GB2312" w:hAnsi="华文宋体" w:hint="eastAsia"/>
                <w:color w:val="000000" w:themeColor="text1"/>
                <w:kern w:val="0"/>
                <w:sz w:val="32"/>
                <w:szCs w:val="32"/>
              </w:rPr>
              <w:t>风险监测（批次）</w:t>
            </w:r>
          </w:p>
        </w:tc>
      </w:tr>
      <w:tr w:rsidR="00EE1571" w:rsidRPr="00D8376D">
        <w:trPr>
          <w:trHeight w:val="557"/>
        </w:trPr>
        <w:tc>
          <w:tcPr>
            <w:tcW w:w="2628" w:type="dxa"/>
            <w:vAlign w:val="center"/>
          </w:tcPr>
          <w:p w:rsidR="00EE1571" w:rsidRPr="00D8376D" w:rsidRDefault="00BD0AB8">
            <w:pPr>
              <w:rPr>
                <w:rFonts w:ascii="仿宋_GB2312" w:eastAsia="仿宋_GB2312" w:hAnsi="华文宋体"/>
                <w:color w:val="000000" w:themeColor="text1"/>
                <w:kern w:val="0"/>
                <w:sz w:val="32"/>
                <w:szCs w:val="32"/>
              </w:rPr>
            </w:pPr>
            <w:r w:rsidRPr="00D8376D">
              <w:rPr>
                <w:rFonts w:ascii="仿宋_GB2312" w:eastAsia="仿宋_GB2312" w:hAnsi="华文宋体" w:hint="eastAsia"/>
                <w:color w:val="000000" w:themeColor="text1"/>
                <w:kern w:val="0"/>
                <w:sz w:val="32"/>
                <w:szCs w:val="32"/>
              </w:rPr>
              <w:t>区发改局（</w:t>
            </w:r>
            <w:r w:rsidR="00D8376D" w:rsidRPr="00D8376D">
              <w:rPr>
                <w:rFonts w:ascii="仿宋_GB2312" w:eastAsia="仿宋_GB2312" w:hAnsi="华文宋体" w:hint="eastAsia"/>
                <w:color w:val="000000" w:themeColor="text1"/>
                <w:kern w:val="0"/>
                <w:sz w:val="32"/>
                <w:szCs w:val="32"/>
              </w:rPr>
              <w:t>农业农村局</w:t>
            </w:r>
            <w:r w:rsidRPr="00D8376D">
              <w:rPr>
                <w:rFonts w:ascii="仿宋_GB2312" w:eastAsia="仿宋_GB2312" w:hAnsi="华文宋体" w:hint="eastAsia"/>
                <w:color w:val="000000" w:themeColor="text1"/>
                <w:kern w:val="0"/>
                <w:sz w:val="32"/>
                <w:szCs w:val="32"/>
              </w:rPr>
              <w:t>）</w:t>
            </w:r>
          </w:p>
        </w:tc>
        <w:tc>
          <w:tcPr>
            <w:tcW w:w="3009" w:type="dxa"/>
            <w:vAlign w:val="center"/>
          </w:tcPr>
          <w:p w:rsidR="00EE1571" w:rsidRPr="00D8376D" w:rsidRDefault="00BD0AB8">
            <w:pPr>
              <w:rPr>
                <w:rFonts w:ascii="仿宋_GB2312" w:eastAsia="仿宋_GB2312" w:hAnsi="华文宋体"/>
                <w:color w:val="000000" w:themeColor="text1"/>
                <w:kern w:val="0"/>
                <w:sz w:val="32"/>
                <w:szCs w:val="32"/>
              </w:rPr>
            </w:pPr>
            <w:r w:rsidRPr="00D8376D">
              <w:rPr>
                <w:rFonts w:ascii="仿宋_GB2312" w:eastAsia="仿宋_GB2312" w:hAnsi="华文宋体" w:hint="eastAsia"/>
                <w:color w:val="000000" w:themeColor="text1"/>
                <w:kern w:val="0"/>
                <w:sz w:val="32"/>
                <w:szCs w:val="32"/>
              </w:rPr>
              <w:t>25</w:t>
            </w:r>
          </w:p>
        </w:tc>
        <w:tc>
          <w:tcPr>
            <w:tcW w:w="3111" w:type="dxa"/>
            <w:vAlign w:val="center"/>
          </w:tcPr>
          <w:p w:rsidR="00EE1571" w:rsidRPr="00D8376D" w:rsidRDefault="00BD0AB8">
            <w:pPr>
              <w:rPr>
                <w:rFonts w:ascii="仿宋_GB2312" w:eastAsia="仿宋_GB2312" w:hAnsi="华文宋体"/>
                <w:color w:val="000000" w:themeColor="text1"/>
                <w:kern w:val="0"/>
                <w:sz w:val="32"/>
                <w:szCs w:val="32"/>
              </w:rPr>
            </w:pPr>
            <w:r w:rsidRPr="00D8376D">
              <w:rPr>
                <w:rFonts w:ascii="仿宋_GB2312" w:eastAsia="仿宋_GB2312" w:hAnsi="华文宋体" w:hint="eastAsia"/>
                <w:color w:val="000000" w:themeColor="text1"/>
                <w:kern w:val="0"/>
                <w:sz w:val="32"/>
                <w:szCs w:val="32"/>
              </w:rPr>
              <w:t>25</w:t>
            </w:r>
          </w:p>
        </w:tc>
      </w:tr>
      <w:tr w:rsidR="00EE1571" w:rsidRPr="00D8376D">
        <w:trPr>
          <w:trHeight w:val="775"/>
        </w:trPr>
        <w:tc>
          <w:tcPr>
            <w:tcW w:w="2628" w:type="dxa"/>
            <w:vAlign w:val="center"/>
          </w:tcPr>
          <w:p w:rsidR="00EE1571" w:rsidRPr="00D8376D" w:rsidRDefault="00BD0AB8">
            <w:pPr>
              <w:rPr>
                <w:rFonts w:ascii="仿宋_GB2312" w:eastAsia="仿宋_GB2312" w:hAnsi="华文宋体"/>
                <w:color w:val="000000" w:themeColor="text1"/>
                <w:kern w:val="0"/>
                <w:sz w:val="32"/>
                <w:szCs w:val="32"/>
              </w:rPr>
            </w:pPr>
            <w:r w:rsidRPr="00D8376D">
              <w:rPr>
                <w:rFonts w:ascii="仿宋_GB2312" w:eastAsia="仿宋_GB2312" w:hAnsi="华文宋体" w:hint="eastAsia"/>
                <w:color w:val="000000" w:themeColor="text1"/>
                <w:kern w:val="0"/>
                <w:sz w:val="32"/>
                <w:szCs w:val="32"/>
              </w:rPr>
              <w:t>区市场监管局</w:t>
            </w:r>
          </w:p>
        </w:tc>
        <w:tc>
          <w:tcPr>
            <w:tcW w:w="3009" w:type="dxa"/>
            <w:vAlign w:val="center"/>
          </w:tcPr>
          <w:p w:rsidR="00EE1571" w:rsidRPr="00D8376D" w:rsidRDefault="00BD0AB8">
            <w:pPr>
              <w:rPr>
                <w:rFonts w:ascii="仿宋_GB2312" w:eastAsia="仿宋_GB2312" w:hAnsi="华文宋体"/>
                <w:color w:val="000000" w:themeColor="text1"/>
                <w:kern w:val="0"/>
                <w:sz w:val="32"/>
                <w:szCs w:val="32"/>
              </w:rPr>
            </w:pPr>
            <w:r w:rsidRPr="00D8376D">
              <w:rPr>
                <w:rFonts w:ascii="仿宋_GB2312" w:eastAsia="仿宋_GB2312" w:hAnsi="华文宋体" w:hint="eastAsia"/>
                <w:color w:val="000000" w:themeColor="text1"/>
                <w:kern w:val="0"/>
                <w:sz w:val="32"/>
                <w:szCs w:val="32"/>
              </w:rPr>
              <w:t>1733</w:t>
            </w:r>
          </w:p>
        </w:tc>
        <w:tc>
          <w:tcPr>
            <w:tcW w:w="3111" w:type="dxa"/>
            <w:vAlign w:val="center"/>
          </w:tcPr>
          <w:p w:rsidR="00EE1571" w:rsidRPr="00D8376D" w:rsidRDefault="00BD0AB8">
            <w:pPr>
              <w:rPr>
                <w:rFonts w:ascii="仿宋_GB2312" w:eastAsia="仿宋_GB2312" w:hAnsi="华文宋体"/>
                <w:color w:val="000000" w:themeColor="text1"/>
                <w:kern w:val="0"/>
                <w:sz w:val="32"/>
                <w:szCs w:val="32"/>
              </w:rPr>
            </w:pPr>
            <w:r w:rsidRPr="00D8376D">
              <w:rPr>
                <w:rFonts w:ascii="仿宋_GB2312" w:eastAsia="仿宋_GB2312" w:hAnsi="华文宋体" w:hint="eastAsia"/>
                <w:color w:val="000000" w:themeColor="text1"/>
                <w:kern w:val="0"/>
                <w:sz w:val="32"/>
                <w:szCs w:val="32"/>
              </w:rPr>
              <w:t>/</w:t>
            </w:r>
          </w:p>
        </w:tc>
      </w:tr>
      <w:tr w:rsidR="00EE1571" w:rsidRPr="00D8376D">
        <w:trPr>
          <w:trHeight w:val="812"/>
        </w:trPr>
        <w:tc>
          <w:tcPr>
            <w:tcW w:w="2628" w:type="dxa"/>
            <w:vAlign w:val="center"/>
          </w:tcPr>
          <w:p w:rsidR="00EE1571" w:rsidRPr="00D8376D" w:rsidRDefault="00BD0AB8">
            <w:pPr>
              <w:rPr>
                <w:rFonts w:ascii="仿宋_GB2312" w:eastAsia="仿宋_GB2312" w:hAnsi="华文宋体"/>
                <w:color w:val="000000" w:themeColor="text1"/>
                <w:kern w:val="0"/>
                <w:sz w:val="32"/>
                <w:szCs w:val="32"/>
              </w:rPr>
            </w:pPr>
            <w:r w:rsidRPr="00D8376D">
              <w:rPr>
                <w:rFonts w:ascii="仿宋_GB2312" w:eastAsia="仿宋_GB2312" w:hAnsi="华文宋体" w:hint="eastAsia"/>
                <w:color w:val="000000" w:themeColor="text1"/>
                <w:kern w:val="0"/>
                <w:sz w:val="32"/>
                <w:szCs w:val="32"/>
              </w:rPr>
              <w:t>区卫生健康局</w:t>
            </w:r>
          </w:p>
        </w:tc>
        <w:tc>
          <w:tcPr>
            <w:tcW w:w="3009" w:type="dxa"/>
            <w:vAlign w:val="center"/>
          </w:tcPr>
          <w:p w:rsidR="00EE1571" w:rsidRPr="00D8376D" w:rsidRDefault="00BD0AB8">
            <w:pPr>
              <w:rPr>
                <w:rFonts w:ascii="仿宋_GB2312" w:eastAsia="仿宋_GB2312" w:hAnsi="华文宋体"/>
                <w:color w:val="000000" w:themeColor="text1"/>
                <w:kern w:val="0"/>
                <w:sz w:val="32"/>
                <w:szCs w:val="32"/>
              </w:rPr>
            </w:pPr>
            <w:r w:rsidRPr="00D8376D">
              <w:rPr>
                <w:rFonts w:ascii="仿宋_GB2312" w:eastAsia="仿宋_GB2312" w:hAnsi="华文宋体" w:hint="eastAsia"/>
                <w:color w:val="000000" w:themeColor="text1"/>
                <w:kern w:val="0"/>
                <w:sz w:val="32"/>
                <w:szCs w:val="32"/>
              </w:rPr>
              <w:t>/</w:t>
            </w:r>
          </w:p>
        </w:tc>
        <w:tc>
          <w:tcPr>
            <w:tcW w:w="3111" w:type="dxa"/>
            <w:vAlign w:val="center"/>
          </w:tcPr>
          <w:p w:rsidR="00EE1571" w:rsidRPr="00D8376D" w:rsidRDefault="00BD0AB8">
            <w:pPr>
              <w:rPr>
                <w:rFonts w:ascii="仿宋_GB2312" w:eastAsia="仿宋_GB2312" w:hAnsi="华文宋体"/>
                <w:color w:val="000000" w:themeColor="text1"/>
                <w:kern w:val="0"/>
                <w:sz w:val="32"/>
                <w:szCs w:val="32"/>
              </w:rPr>
            </w:pPr>
            <w:r w:rsidRPr="00D8376D">
              <w:rPr>
                <w:rFonts w:ascii="仿宋_GB2312" w:eastAsia="仿宋_GB2312" w:hAnsi="华文宋体" w:hint="eastAsia"/>
                <w:color w:val="000000" w:themeColor="text1"/>
                <w:kern w:val="0"/>
                <w:sz w:val="32"/>
                <w:szCs w:val="32"/>
              </w:rPr>
              <w:t>250</w:t>
            </w:r>
          </w:p>
        </w:tc>
      </w:tr>
      <w:tr w:rsidR="00EE1571" w:rsidRPr="00D8376D">
        <w:trPr>
          <w:trHeight w:val="183"/>
        </w:trPr>
        <w:tc>
          <w:tcPr>
            <w:tcW w:w="2628" w:type="dxa"/>
            <w:vAlign w:val="center"/>
          </w:tcPr>
          <w:p w:rsidR="00EE1571" w:rsidRPr="00D8376D" w:rsidRDefault="00BD0AB8">
            <w:pPr>
              <w:rPr>
                <w:rFonts w:ascii="仿宋_GB2312" w:eastAsia="仿宋_GB2312" w:hAnsi="华文宋体"/>
                <w:color w:val="000000" w:themeColor="text1"/>
                <w:kern w:val="0"/>
                <w:sz w:val="32"/>
                <w:szCs w:val="32"/>
              </w:rPr>
            </w:pPr>
            <w:r w:rsidRPr="00D8376D">
              <w:rPr>
                <w:rFonts w:ascii="仿宋_GB2312" w:eastAsia="仿宋_GB2312" w:hAnsi="华文宋体" w:hint="eastAsia"/>
                <w:color w:val="000000" w:themeColor="text1"/>
                <w:kern w:val="0"/>
                <w:sz w:val="32"/>
                <w:szCs w:val="32"/>
              </w:rPr>
              <w:t>合计（批次）</w:t>
            </w:r>
          </w:p>
        </w:tc>
        <w:tc>
          <w:tcPr>
            <w:tcW w:w="3009" w:type="dxa"/>
            <w:vAlign w:val="center"/>
          </w:tcPr>
          <w:p w:rsidR="00EE1571" w:rsidRPr="00D8376D" w:rsidRDefault="00BD0AB8">
            <w:pPr>
              <w:rPr>
                <w:rFonts w:ascii="仿宋_GB2312" w:eastAsia="仿宋_GB2312" w:hAnsi="华文宋体"/>
                <w:color w:val="000000" w:themeColor="text1"/>
                <w:kern w:val="0"/>
                <w:sz w:val="32"/>
                <w:szCs w:val="32"/>
              </w:rPr>
            </w:pPr>
            <w:r w:rsidRPr="00D8376D">
              <w:rPr>
                <w:rFonts w:ascii="仿宋_GB2312" w:eastAsia="仿宋_GB2312" w:hAnsi="华文宋体" w:hint="eastAsia"/>
                <w:color w:val="000000" w:themeColor="text1"/>
                <w:kern w:val="0"/>
                <w:sz w:val="32"/>
                <w:szCs w:val="32"/>
              </w:rPr>
              <w:t>1758</w:t>
            </w:r>
          </w:p>
        </w:tc>
        <w:tc>
          <w:tcPr>
            <w:tcW w:w="3111" w:type="dxa"/>
            <w:vAlign w:val="center"/>
          </w:tcPr>
          <w:p w:rsidR="00EE1571" w:rsidRPr="00D8376D" w:rsidRDefault="00BD0AB8">
            <w:pPr>
              <w:rPr>
                <w:rFonts w:ascii="仿宋_GB2312" w:eastAsia="仿宋_GB2312" w:hAnsi="华文宋体"/>
                <w:color w:val="000000" w:themeColor="text1"/>
                <w:kern w:val="0"/>
                <w:sz w:val="32"/>
                <w:szCs w:val="32"/>
              </w:rPr>
            </w:pPr>
            <w:r w:rsidRPr="00D8376D">
              <w:rPr>
                <w:rFonts w:ascii="仿宋_GB2312" w:eastAsia="仿宋_GB2312" w:hAnsi="华文宋体" w:hint="eastAsia"/>
                <w:color w:val="000000" w:themeColor="text1"/>
                <w:kern w:val="0"/>
                <w:sz w:val="32"/>
                <w:szCs w:val="32"/>
              </w:rPr>
              <w:t>275</w:t>
            </w:r>
          </w:p>
        </w:tc>
      </w:tr>
    </w:tbl>
    <w:p w:rsidR="00EE1571" w:rsidRPr="00D8376D" w:rsidRDefault="00EE1571">
      <w:pPr>
        <w:rPr>
          <w:rFonts w:ascii="仿宋_GB2312" w:eastAsia="宋体" w:hAnsi="华文宋体" w:cs="Times New Roman"/>
          <w:color w:val="000000" w:themeColor="text1"/>
          <w:sz w:val="32"/>
          <w:szCs w:val="32"/>
        </w:rPr>
      </w:pPr>
    </w:p>
    <w:p w:rsidR="00EE1571" w:rsidRPr="00D8376D" w:rsidRDefault="00EE1571">
      <w:pPr>
        <w:rPr>
          <w:rFonts w:ascii="仿宋_GB2312" w:eastAsia="宋体" w:hAnsi="华文宋体" w:cs="Times New Roman"/>
          <w:color w:val="000000" w:themeColor="text1"/>
          <w:sz w:val="32"/>
          <w:szCs w:val="32"/>
        </w:rPr>
      </w:pPr>
    </w:p>
    <w:p w:rsidR="00EE1571" w:rsidRPr="00D8376D" w:rsidRDefault="00EE1571">
      <w:pPr>
        <w:rPr>
          <w:rFonts w:ascii="仿宋_GB2312" w:eastAsia="宋体" w:hAnsi="华文宋体" w:cs="Times New Roman"/>
          <w:color w:val="000000" w:themeColor="text1"/>
          <w:sz w:val="32"/>
          <w:szCs w:val="32"/>
        </w:rPr>
      </w:pPr>
    </w:p>
    <w:p w:rsidR="00EE1571" w:rsidRPr="00D8376D" w:rsidRDefault="00EE1571">
      <w:pPr>
        <w:rPr>
          <w:rFonts w:ascii="仿宋_GB2312" w:eastAsia="宋体" w:hAnsi="华文宋体" w:cs="Times New Roman"/>
          <w:color w:val="000000" w:themeColor="text1"/>
          <w:sz w:val="32"/>
          <w:szCs w:val="32"/>
        </w:rPr>
      </w:pPr>
    </w:p>
    <w:p w:rsidR="00EE1571" w:rsidRPr="00D8376D" w:rsidRDefault="00EE1571">
      <w:pPr>
        <w:rPr>
          <w:rFonts w:ascii="仿宋_GB2312" w:eastAsia="宋体" w:hAnsi="华文宋体" w:cs="Times New Roman"/>
          <w:color w:val="000000" w:themeColor="text1"/>
          <w:sz w:val="32"/>
          <w:szCs w:val="32"/>
        </w:rPr>
      </w:pPr>
    </w:p>
    <w:p w:rsidR="00EE1571" w:rsidRPr="00D8376D" w:rsidRDefault="00EE1571">
      <w:pPr>
        <w:rPr>
          <w:rFonts w:ascii="仿宋_GB2312" w:eastAsia="宋体" w:hAnsi="华文宋体" w:cs="Times New Roman"/>
          <w:color w:val="000000" w:themeColor="text1"/>
          <w:sz w:val="32"/>
          <w:szCs w:val="32"/>
        </w:rPr>
      </w:pPr>
    </w:p>
    <w:p w:rsidR="00EE1571" w:rsidRPr="00D8376D" w:rsidRDefault="00EE1571">
      <w:pPr>
        <w:rPr>
          <w:rFonts w:ascii="仿宋_GB2312" w:eastAsia="宋体" w:hAnsi="华文宋体" w:cs="Times New Roman"/>
          <w:color w:val="000000" w:themeColor="text1"/>
          <w:sz w:val="32"/>
          <w:szCs w:val="32"/>
        </w:rPr>
      </w:pPr>
    </w:p>
    <w:p w:rsidR="00EE1571" w:rsidRPr="00D8376D" w:rsidRDefault="00EE1571">
      <w:pPr>
        <w:rPr>
          <w:rFonts w:ascii="仿宋_GB2312" w:eastAsia="宋体" w:hAnsi="华文宋体" w:cs="Times New Roman"/>
          <w:color w:val="000000" w:themeColor="text1"/>
          <w:sz w:val="32"/>
          <w:szCs w:val="32"/>
        </w:rPr>
      </w:pPr>
    </w:p>
    <w:p w:rsidR="00EE1571" w:rsidRPr="00D8376D" w:rsidRDefault="00EE1571">
      <w:pPr>
        <w:rPr>
          <w:rFonts w:ascii="仿宋_GB2312" w:eastAsia="宋体" w:hAnsi="华文宋体" w:cs="Times New Roman"/>
          <w:color w:val="000000" w:themeColor="text1"/>
          <w:sz w:val="32"/>
          <w:szCs w:val="32"/>
        </w:rPr>
      </w:pPr>
    </w:p>
    <w:p w:rsidR="00EE1571" w:rsidRPr="00D8376D" w:rsidRDefault="00EE1571">
      <w:pPr>
        <w:rPr>
          <w:rFonts w:ascii="仿宋_GB2312" w:eastAsia="宋体" w:hAnsi="华文宋体" w:cs="Times New Roman"/>
          <w:color w:val="000000" w:themeColor="text1"/>
          <w:sz w:val="32"/>
          <w:szCs w:val="32"/>
        </w:rPr>
      </w:pPr>
    </w:p>
    <w:p w:rsidR="00EE1571" w:rsidRPr="00D8376D" w:rsidRDefault="00EE1571">
      <w:pPr>
        <w:tabs>
          <w:tab w:val="left" w:pos="1890"/>
          <w:tab w:val="left" w:pos="3330"/>
        </w:tabs>
        <w:spacing w:line="600" w:lineRule="exact"/>
        <w:rPr>
          <w:rFonts w:ascii="仿宋_GB2312" w:eastAsia="仿宋_GB2312" w:hAnsi="微软雅黑"/>
          <w:color w:val="000000" w:themeColor="text1"/>
          <w:sz w:val="32"/>
          <w:szCs w:val="32"/>
        </w:rPr>
      </w:pPr>
    </w:p>
    <w:p w:rsidR="00EE1571" w:rsidRPr="00D8376D" w:rsidRDefault="00BD0AB8">
      <w:pPr>
        <w:widowControl/>
        <w:jc w:val="left"/>
        <w:rPr>
          <w:rFonts w:ascii="仿宋_GB2312" w:eastAsia="仿宋_GB2312" w:hAnsi="微软雅黑"/>
          <w:color w:val="000000" w:themeColor="text1"/>
          <w:sz w:val="32"/>
          <w:szCs w:val="32"/>
        </w:rPr>
      </w:pPr>
      <w:r w:rsidRPr="00D8376D">
        <w:rPr>
          <w:rFonts w:ascii="仿宋_GB2312" w:eastAsia="仿宋_GB2312" w:hAnsi="微软雅黑"/>
          <w:color w:val="000000" w:themeColor="text1"/>
          <w:sz w:val="32"/>
          <w:szCs w:val="32"/>
        </w:rPr>
        <w:br w:type="page"/>
      </w:r>
    </w:p>
    <w:p w:rsidR="008539BB" w:rsidRPr="00D8376D" w:rsidRDefault="00BD0AB8">
      <w:pPr>
        <w:tabs>
          <w:tab w:val="left" w:pos="1890"/>
          <w:tab w:val="left" w:pos="3330"/>
        </w:tabs>
        <w:spacing w:line="600" w:lineRule="exact"/>
        <w:rPr>
          <w:rFonts w:ascii="黑体" w:eastAsia="黑体" w:hAnsi="黑体"/>
          <w:color w:val="000000" w:themeColor="text1"/>
          <w:sz w:val="32"/>
          <w:szCs w:val="32"/>
        </w:rPr>
      </w:pPr>
      <w:r w:rsidRPr="00D8376D">
        <w:rPr>
          <w:rFonts w:ascii="黑体" w:eastAsia="黑体" w:hAnsi="黑体" w:hint="eastAsia"/>
          <w:color w:val="000000" w:themeColor="text1"/>
          <w:sz w:val="32"/>
          <w:szCs w:val="32"/>
        </w:rPr>
        <w:lastRenderedPageBreak/>
        <w:t>附件2：</w:t>
      </w:r>
    </w:p>
    <w:p w:rsidR="00EE1571" w:rsidRPr="00D8376D" w:rsidRDefault="00BD0AB8" w:rsidP="008539BB">
      <w:pPr>
        <w:tabs>
          <w:tab w:val="left" w:pos="1890"/>
          <w:tab w:val="left" w:pos="3330"/>
        </w:tabs>
        <w:spacing w:line="600" w:lineRule="exact"/>
        <w:jc w:val="center"/>
        <w:rPr>
          <w:rFonts w:ascii="方正小标宋简体" w:eastAsia="方正小标宋简体" w:hAnsi="黑体"/>
          <w:color w:val="000000" w:themeColor="text1"/>
          <w:sz w:val="36"/>
          <w:szCs w:val="36"/>
        </w:rPr>
      </w:pPr>
      <w:r w:rsidRPr="00D8376D">
        <w:rPr>
          <w:rFonts w:ascii="方正小标宋简体" w:eastAsia="方正小标宋简体" w:hAnsi="黑体" w:hint="eastAsia"/>
          <w:color w:val="000000" w:themeColor="text1"/>
          <w:sz w:val="36"/>
          <w:szCs w:val="36"/>
        </w:rPr>
        <w:t>区市场监管局各科所抽检工作职责</w:t>
      </w:r>
    </w:p>
    <w:p w:rsidR="008539BB" w:rsidRPr="00D8376D" w:rsidRDefault="008539BB">
      <w:pPr>
        <w:tabs>
          <w:tab w:val="left" w:pos="1890"/>
          <w:tab w:val="left" w:pos="3330"/>
        </w:tabs>
        <w:spacing w:line="600" w:lineRule="exact"/>
        <w:jc w:val="center"/>
        <w:rPr>
          <w:rFonts w:ascii="仿宋_GB2312" w:eastAsia="仿宋_GB2312" w:hAnsi="微软雅黑"/>
          <w:b/>
          <w:color w:val="000000" w:themeColor="text1"/>
          <w:sz w:val="32"/>
          <w:szCs w:val="32"/>
        </w:rPr>
      </w:pPr>
    </w:p>
    <w:p w:rsidR="00EE1571" w:rsidRPr="00D8376D" w:rsidRDefault="00BD0AB8">
      <w:pPr>
        <w:tabs>
          <w:tab w:val="left" w:pos="1890"/>
          <w:tab w:val="left" w:pos="3330"/>
        </w:tabs>
        <w:spacing w:line="600" w:lineRule="exact"/>
        <w:jc w:val="center"/>
        <w:rPr>
          <w:rFonts w:ascii="黑体" w:eastAsia="黑体" w:hAnsi="黑体"/>
          <w:color w:val="000000" w:themeColor="text1"/>
          <w:sz w:val="32"/>
          <w:szCs w:val="32"/>
        </w:rPr>
      </w:pPr>
      <w:r w:rsidRPr="00D8376D">
        <w:rPr>
          <w:rFonts w:ascii="黑体" w:eastAsia="黑体" w:hAnsi="黑体" w:hint="eastAsia"/>
          <w:color w:val="000000" w:themeColor="text1"/>
          <w:sz w:val="32"/>
          <w:szCs w:val="32"/>
        </w:rPr>
        <w:t>食品综合协调科职责</w:t>
      </w:r>
    </w:p>
    <w:p w:rsidR="00EE1571" w:rsidRPr="00D8376D" w:rsidRDefault="00BD0AB8" w:rsidP="008539BB">
      <w:pPr>
        <w:tabs>
          <w:tab w:val="left" w:pos="1890"/>
          <w:tab w:val="left" w:pos="3330"/>
        </w:tabs>
        <w:spacing w:line="600" w:lineRule="exact"/>
        <w:ind w:firstLineChars="200" w:firstLine="640"/>
        <w:rPr>
          <w:rFonts w:ascii="仿宋_GB2312" w:eastAsia="仿宋_GB2312" w:hAnsi="微软雅黑"/>
          <w:color w:val="000000" w:themeColor="text1"/>
          <w:sz w:val="32"/>
          <w:szCs w:val="32"/>
        </w:rPr>
      </w:pPr>
      <w:r w:rsidRPr="00D8376D">
        <w:rPr>
          <w:rFonts w:ascii="仿宋_GB2312" w:eastAsia="仿宋_GB2312" w:hAnsi="微软雅黑" w:hint="eastAsia"/>
          <w:color w:val="000000" w:themeColor="text1"/>
          <w:sz w:val="32"/>
          <w:szCs w:val="32"/>
        </w:rPr>
        <w:t>1.根据杭州市市场监督管理部门制定的抽样检验年度计划并结合我区实际情况，制定全区食品安全抽样检验工作方案。</w:t>
      </w:r>
    </w:p>
    <w:p w:rsidR="00EE1571" w:rsidRPr="00D8376D" w:rsidRDefault="00BD0AB8" w:rsidP="008539BB">
      <w:pPr>
        <w:tabs>
          <w:tab w:val="left" w:pos="1890"/>
          <w:tab w:val="left" w:pos="3330"/>
        </w:tabs>
        <w:spacing w:line="600" w:lineRule="exact"/>
        <w:ind w:firstLineChars="200" w:firstLine="640"/>
        <w:rPr>
          <w:rFonts w:ascii="仿宋_GB2312" w:eastAsia="仿宋_GB2312" w:hAnsi="微软雅黑"/>
          <w:color w:val="000000" w:themeColor="text1"/>
          <w:sz w:val="32"/>
          <w:szCs w:val="32"/>
        </w:rPr>
      </w:pPr>
      <w:r w:rsidRPr="00D8376D">
        <w:rPr>
          <w:rFonts w:ascii="仿宋_GB2312" w:eastAsia="仿宋_GB2312" w:hAnsi="微软雅黑" w:hint="eastAsia"/>
          <w:color w:val="000000" w:themeColor="text1"/>
          <w:sz w:val="32"/>
          <w:szCs w:val="32"/>
        </w:rPr>
        <w:t>2.牵头负责开展国抽系统年度抽检任务制定，统筹掌握核查处置模块任务领取和指派，统计汇总上报每月抽检报表（包括国抽系统月度报表及上级部门要求表格），做好每月抽检信息的公示工作，形成月度抽检公告，对外进行发布。</w:t>
      </w:r>
    </w:p>
    <w:p w:rsidR="00EE1571" w:rsidRPr="00D8376D" w:rsidRDefault="00BD0AB8" w:rsidP="008539BB">
      <w:pPr>
        <w:tabs>
          <w:tab w:val="left" w:pos="1890"/>
          <w:tab w:val="left" w:pos="3330"/>
        </w:tabs>
        <w:spacing w:line="600" w:lineRule="exact"/>
        <w:ind w:firstLineChars="200" w:firstLine="640"/>
        <w:rPr>
          <w:rFonts w:ascii="仿宋_GB2312" w:eastAsia="仿宋_GB2312" w:hAnsi="微软雅黑"/>
          <w:color w:val="000000" w:themeColor="text1"/>
          <w:sz w:val="32"/>
          <w:szCs w:val="32"/>
        </w:rPr>
      </w:pPr>
      <w:r w:rsidRPr="00D8376D">
        <w:rPr>
          <w:rFonts w:ascii="仿宋_GB2312" w:eastAsia="仿宋_GB2312" w:hAnsi="微软雅黑" w:hint="eastAsia"/>
          <w:color w:val="000000" w:themeColor="text1"/>
          <w:sz w:val="32"/>
          <w:szCs w:val="32"/>
        </w:rPr>
        <w:t>3.牵头做好省局一体化平台中食品安全综合治理协同应用风险预警模块及浙政钉中浙食安数据晾晒和核查处置掌上办模块的指标跟踪督查，实时关注各项考核动态数据，每月统计各科、所抽检任务完成情况，并发布通报。</w:t>
      </w:r>
    </w:p>
    <w:p w:rsidR="00EE1571" w:rsidRPr="00D8376D" w:rsidRDefault="00BD0AB8" w:rsidP="008539BB">
      <w:pPr>
        <w:tabs>
          <w:tab w:val="left" w:pos="1890"/>
          <w:tab w:val="left" w:pos="3330"/>
        </w:tabs>
        <w:spacing w:line="600" w:lineRule="exact"/>
        <w:ind w:firstLineChars="200" w:firstLine="640"/>
        <w:rPr>
          <w:rFonts w:ascii="仿宋_GB2312" w:eastAsia="仿宋_GB2312" w:hAnsi="微软雅黑"/>
          <w:color w:val="000000" w:themeColor="text1"/>
          <w:sz w:val="32"/>
          <w:szCs w:val="32"/>
        </w:rPr>
      </w:pPr>
      <w:r w:rsidRPr="00D8376D">
        <w:rPr>
          <w:rFonts w:ascii="仿宋_GB2312" w:eastAsia="仿宋_GB2312" w:hAnsi="微软雅黑" w:hint="eastAsia"/>
          <w:color w:val="000000" w:themeColor="text1"/>
          <w:sz w:val="32"/>
          <w:szCs w:val="32"/>
        </w:rPr>
        <w:t>4.建立健全食品抽检相关工作管理制度，明确岗位职责、抽样和处置流程及工作纪律，组织对抽样人员的培训和指导，保证抽样工作质量。</w:t>
      </w:r>
    </w:p>
    <w:p w:rsidR="00EE1571" w:rsidRPr="00D8376D" w:rsidRDefault="00BD0AB8" w:rsidP="008539BB">
      <w:pPr>
        <w:tabs>
          <w:tab w:val="left" w:pos="1890"/>
          <w:tab w:val="left" w:pos="3330"/>
        </w:tabs>
        <w:spacing w:line="600" w:lineRule="exact"/>
        <w:ind w:firstLineChars="200" w:firstLine="640"/>
        <w:rPr>
          <w:rFonts w:ascii="仿宋_GB2312" w:eastAsia="仿宋_GB2312" w:hAnsi="微软雅黑"/>
          <w:color w:val="000000" w:themeColor="text1"/>
          <w:sz w:val="32"/>
          <w:szCs w:val="32"/>
        </w:rPr>
      </w:pPr>
      <w:r w:rsidRPr="00D8376D">
        <w:rPr>
          <w:rFonts w:ascii="仿宋_GB2312" w:eastAsia="仿宋_GB2312" w:hAnsi="微软雅黑" w:hint="eastAsia"/>
          <w:color w:val="000000" w:themeColor="text1"/>
          <w:sz w:val="32"/>
          <w:szCs w:val="32"/>
        </w:rPr>
        <w:t>5.做好上级交办的其他事项</w:t>
      </w:r>
    </w:p>
    <w:p w:rsidR="008539BB" w:rsidRPr="00D8376D" w:rsidRDefault="008539BB">
      <w:pPr>
        <w:tabs>
          <w:tab w:val="left" w:pos="1890"/>
          <w:tab w:val="left" w:pos="3330"/>
        </w:tabs>
        <w:spacing w:line="600" w:lineRule="exact"/>
        <w:jc w:val="center"/>
        <w:rPr>
          <w:rFonts w:ascii="仿宋_GB2312" w:eastAsia="仿宋_GB2312" w:hAnsi="微软雅黑"/>
          <w:b/>
          <w:color w:val="000000" w:themeColor="text1"/>
          <w:sz w:val="32"/>
          <w:szCs w:val="32"/>
        </w:rPr>
      </w:pPr>
    </w:p>
    <w:p w:rsidR="00EE1571" w:rsidRPr="00D8376D" w:rsidRDefault="00BD0AB8">
      <w:pPr>
        <w:tabs>
          <w:tab w:val="left" w:pos="1890"/>
          <w:tab w:val="left" w:pos="3330"/>
        </w:tabs>
        <w:spacing w:line="600" w:lineRule="exact"/>
        <w:jc w:val="center"/>
        <w:rPr>
          <w:rFonts w:ascii="黑体" w:eastAsia="黑体" w:hAnsi="黑体"/>
          <w:color w:val="000000" w:themeColor="text1"/>
          <w:sz w:val="32"/>
          <w:szCs w:val="32"/>
        </w:rPr>
      </w:pPr>
      <w:r w:rsidRPr="00D8376D">
        <w:rPr>
          <w:rFonts w:ascii="黑体" w:eastAsia="黑体" w:hAnsi="黑体" w:hint="eastAsia"/>
          <w:color w:val="000000" w:themeColor="text1"/>
          <w:sz w:val="32"/>
          <w:szCs w:val="32"/>
        </w:rPr>
        <w:t>生产流通科、餐饮科职责</w:t>
      </w:r>
    </w:p>
    <w:p w:rsidR="00EE1571" w:rsidRPr="00D8376D" w:rsidRDefault="00BD0AB8" w:rsidP="008539BB">
      <w:pPr>
        <w:tabs>
          <w:tab w:val="left" w:pos="1890"/>
          <w:tab w:val="left" w:pos="3330"/>
        </w:tabs>
        <w:spacing w:line="600" w:lineRule="exact"/>
        <w:ind w:firstLineChars="200" w:firstLine="640"/>
        <w:jc w:val="left"/>
        <w:rPr>
          <w:rFonts w:ascii="仿宋_GB2312" w:eastAsia="仿宋_GB2312" w:hAnsi="微软雅黑"/>
          <w:color w:val="000000" w:themeColor="text1"/>
          <w:sz w:val="32"/>
          <w:szCs w:val="32"/>
        </w:rPr>
      </w:pPr>
      <w:r w:rsidRPr="00D8376D">
        <w:rPr>
          <w:rFonts w:ascii="仿宋_GB2312" w:eastAsia="仿宋_GB2312" w:hAnsi="微软雅黑" w:hint="eastAsia"/>
          <w:color w:val="000000" w:themeColor="text1"/>
          <w:sz w:val="32"/>
          <w:szCs w:val="32"/>
        </w:rPr>
        <w:t xml:space="preserve">1.根据全局年度抽检计划合理安排每月抽检任务，按照 </w:t>
      </w:r>
      <w:r w:rsidR="00EC1B45">
        <w:rPr>
          <w:rFonts w:ascii="仿宋_GB2312" w:eastAsia="仿宋_GB2312" w:hAnsi="微软雅黑" w:hint="eastAsia"/>
          <w:color w:val="000000" w:themeColor="text1"/>
          <w:sz w:val="32"/>
          <w:szCs w:val="32"/>
        </w:rPr>
        <w:t>“双随机、一公开”</w:t>
      </w:r>
      <w:r w:rsidRPr="00D8376D">
        <w:rPr>
          <w:rFonts w:ascii="仿宋_GB2312" w:eastAsia="仿宋_GB2312" w:hAnsi="微软雅黑" w:hint="eastAsia"/>
          <w:color w:val="000000" w:themeColor="text1"/>
          <w:sz w:val="32"/>
          <w:szCs w:val="32"/>
        </w:rPr>
        <w:t>要求做好国抽系统年度抽检任务部署及</w:t>
      </w:r>
      <w:r w:rsidRPr="00D8376D">
        <w:rPr>
          <w:rFonts w:ascii="仿宋_GB2312" w:eastAsia="仿宋_GB2312" w:hAnsi="微软雅黑" w:hint="eastAsia"/>
          <w:color w:val="000000" w:themeColor="text1"/>
          <w:sz w:val="32"/>
          <w:szCs w:val="32"/>
        </w:rPr>
        <w:lastRenderedPageBreak/>
        <w:t>下达工作，并及时告知抽样人员。</w:t>
      </w:r>
    </w:p>
    <w:p w:rsidR="00EE1571" w:rsidRPr="00D8376D" w:rsidRDefault="00BD0AB8" w:rsidP="008539BB">
      <w:pPr>
        <w:tabs>
          <w:tab w:val="left" w:pos="1890"/>
          <w:tab w:val="left" w:pos="3330"/>
        </w:tabs>
        <w:spacing w:line="600" w:lineRule="exact"/>
        <w:ind w:firstLineChars="200" w:firstLine="640"/>
        <w:jc w:val="left"/>
        <w:rPr>
          <w:rFonts w:ascii="仿宋_GB2312" w:eastAsia="仿宋_GB2312" w:hAnsi="微软雅黑"/>
          <w:color w:val="000000" w:themeColor="text1"/>
          <w:sz w:val="32"/>
          <w:szCs w:val="32"/>
        </w:rPr>
      </w:pPr>
      <w:r w:rsidRPr="00D8376D">
        <w:rPr>
          <w:rFonts w:ascii="仿宋_GB2312" w:eastAsia="仿宋_GB2312" w:hAnsi="微软雅黑" w:hint="eastAsia"/>
          <w:color w:val="000000" w:themeColor="text1"/>
          <w:sz w:val="32"/>
          <w:szCs w:val="32"/>
        </w:rPr>
        <w:t>2.生产流通科负责做好生产环节及大中型商超不合格食品的核查处置工作，并做好生产流通环节所有不合格食品的处置启动工作和异议处置工作。餐饮科负责做好餐饮环节不合格食品的处置启动工作和异议处置工作。</w:t>
      </w:r>
    </w:p>
    <w:p w:rsidR="00EE1571" w:rsidRPr="00D8376D" w:rsidRDefault="00BD0AB8" w:rsidP="008539BB">
      <w:pPr>
        <w:tabs>
          <w:tab w:val="left" w:pos="1890"/>
          <w:tab w:val="left" w:pos="3330"/>
        </w:tabs>
        <w:spacing w:line="600" w:lineRule="exact"/>
        <w:ind w:firstLineChars="200" w:firstLine="640"/>
        <w:jc w:val="left"/>
        <w:rPr>
          <w:rFonts w:ascii="仿宋_GB2312" w:eastAsia="仿宋_GB2312" w:hAnsi="微软雅黑"/>
          <w:color w:val="000000" w:themeColor="text1"/>
          <w:sz w:val="32"/>
          <w:szCs w:val="32"/>
        </w:rPr>
      </w:pPr>
      <w:r w:rsidRPr="00D8376D">
        <w:rPr>
          <w:rFonts w:ascii="仿宋_GB2312" w:eastAsia="仿宋_GB2312" w:hAnsi="微软雅黑" w:hint="eastAsia"/>
          <w:color w:val="000000" w:themeColor="text1"/>
          <w:sz w:val="32"/>
          <w:szCs w:val="32"/>
        </w:rPr>
        <w:t>3.统计汇总每月抽检报表，跟踪落实每月抽检进度及核查处置进展情况，局月度会议前一天做好汇总，并及时上报食品综合协调科。</w:t>
      </w:r>
    </w:p>
    <w:p w:rsidR="00EE1571" w:rsidRPr="00D8376D" w:rsidRDefault="00BD0AB8" w:rsidP="008539BB">
      <w:pPr>
        <w:tabs>
          <w:tab w:val="left" w:pos="1890"/>
          <w:tab w:val="left" w:pos="3330"/>
        </w:tabs>
        <w:spacing w:line="600" w:lineRule="exact"/>
        <w:ind w:firstLineChars="200" w:firstLine="640"/>
        <w:jc w:val="left"/>
        <w:rPr>
          <w:rFonts w:ascii="仿宋_GB2312" w:eastAsia="仿宋_GB2312" w:hAnsi="微软雅黑"/>
          <w:color w:val="000000" w:themeColor="text1"/>
          <w:sz w:val="32"/>
          <w:szCs w:val="32"/>
        </w:rPr>
      </w:pPr>
      <w:r w:rsidRPr="00D8376D">
        <w:rPr>
          <w:rFonts w:ascii="仿宋_GB2312" w:eastAsia="仿宋_GB2312" w:hAnsi="微软雅黑" w:hint="eastAsia"/>
          <w:color w:val="000000" w:themeColor="text1"/>
          <w:sz w:val="32"/>
          <w:szCs w:val="32"/>
        </w:rPr>
        <w:t>4.做好其他抽检相关事项</w:t>
      </w:r>
    </w:p>
    <w:p w:rsidR="008539BB" w:rsidRPr="00D8376D" w:rsidRDefault="008539BB">
      <w:pPr>
        <w:tabs>
          <w:tab w:val="left" w:pos="1890"/>
          <w:tab w:val="left" w:pos="3330"/>
        </w:tabs>
        <w:spacing w:line="600" w:lineRule="exact"/>
        <w:jc w:val="center"/>
        <w:rPr>
          <w:rFonts w:ascii="仿宋_GB2312" w:eastAsia="仿宋_GB2312" w:hAnsi="微软雅黑"/>
          <w:b/>
          <w:color w:val="000000" w:themeColor="text1"/>
          <w:sz w:val="32"/>
          <w:szCs w:val="32"/>
        </w:rPr>
      </w:pPr>
    </w:p>
    <w:p w:rsidR="00EE1571" w:rsidRPr="00D8376D" w:rsidRDefault="00BD0AB8">
      <w:pPr>
        <w:tabs>
          <w:tab w:val="left" w:pos="1890"/>
          <w:tab w:val="left" w:pos="3330"/>
        </w:tabs>
        <w:spacing w:line="600" w:lineRule="exact"/>
        <w:jc w:val="center"/>
        <w:rPr>
          <w:rFonts w:ascii="黑体" w:eastAsia="黑体" w:hAnsi="黑体"/>
          <w:color w:val="000000" w:themeColor="text1"/>
          <w:sz w:val="32"/>
          <w:szCs w:val="32"/>
        </w:rPr>
      </w:pPr>
      <w:r w:rsidRPr="00D8376D">
        <w:rPr>
          <w:rFonts w:ascii="黑体" w:eastAsia="黑体" w:hAnsi="黑体" w:hint="eastAsia"/>
          <w:color w:val="000000" w:themeColor="text1"/>
          <w:sz w:val="32"/>
          <w:szCs w:val="32"/>
        </w:rPr>
        <w:t>各市场监管所职责</w:t>
      </w:r>
    </w:p>
    <w:p w:rsidR="00EE1571" w:rsidRPr="00D8376D" w:rsidRDefault="00BD0AB8" w:rsidP="008539BB">
      <w:pPr>
        <w:tabs>
          <w:tab w:val="left" w:pos="1890"/>
          <w:tab w:val="left" w:pos="3330"/>
        </w:tabs>
        <w:spacing w:line="600" w:lineRule="exact"/>
        <w:ind w:firstLineChars="200" w:firstLine="640"/>
        <w:jc w:val="left"/>
        <w:rPr>
          <w:rFonts w:ascii="仿宋_GB2312" w:eastAsia="仿宋_GB2312" w:hAnsi="微软雅黑"/>
          <w:color w:val="000000" w:themeColor="text1"/>
          <w:sz w:val="32"/>
          <w:szCs w:val="32"/>
        </w:rPr>
      </w:pPr>
      <w:r w:rsidRPr="00D8376D">
        <w:rPr>
          <w:rFonts w:ascii="仿宋_GB2312" w:eastAsia="仿宋_GB2312" w:hAnsi="微软雅黑" w:hint="eastAsia"/>
          <w:color w:val="000000" w:themeColor="text1"/>
          <w:sz w:val="32"/>
          <w:szCs w:val="32"/>
        </w:rPr>
        <w:t>1.按照</w:t>
      </w:r>
      <w:r w:rsidR="00041238">
        <w:rPr>
          <w:rFonts w:ascii="仿宋_GB2312" w:eastAsia="仿宋_GB2312" w:hAnsi="微软雅黑" w:hint="eastAsia"/>
          <w:color w:val="000000" w:themeColor="text1"/>
          <w:sz w:val="32"/>
          <w:szCs w:val="32"/>
        </w:rPr>
        <w:t>”双随机、一公开”</w:t>
      </w:r>
      <w:r w:rsidRPr="00D8376D">
        <w:rPr>
          <w:rFonts w:ascii="仿宋_GB2312" w:eastAsia="仿宋_GB2312" w:hAnsi="微软雅黑" w:hint="eastAsia"/>
          <w:color w:val="000000" w:themeColor="text1"/>
          <w:sz w:val="32"/>
          <w:szCs w:val="32"/>
        </w:rPr>
        <w:t>要求及时完成各业务科室下达的抽检任务；</w:t>
      </w:r>
    </w:p>
    <w:p w:rsidR="00EE1571" w:rsidRPr="00D8376D" w:rsidRDefault="00BD0AB8" w:rsidP="008539BB">
      <w:pPr>
        <w:tabs>
          <w:tab w:val="left" w:pos="1890"/>
          <w:tab w:val="left" w:pos="3330"/>
        </w:tabs>
        <w:spacing w:line="600" w:lineRule="exact"/>
        <w:ind w:firstLineChars="200" w:firstLine="640"/>
        <w:jc w:val="left"/>
        <w:rPr>
          <w:rFonts w:ascii="仿宋_GB2312" w:eastAsia="仿宋_GB2312" w:hAnsi="微软雅黑"/>
          <w:color w:val="000000" w:themeColor="text1"/>
          <w:sz w:val="32"/>
          <w:szCs w:val="32"/>
        </w:rPr>
      </w:pPr>
      <w:r w:rsidRPr="00D8376D">
        <w:rPr>
          <w:rFonts w:ascii="仿宋_GB2312" w:eastAsia="仿宋_GB2312" w:hAnsi="微软雅黑" w:hint="eastAsia"/>
          <w:color w:val="000000" w:themeColor="text1"/>
          <w:sz w:val="32"/>
          <w:szCs w:val="32"/>
        </w:rPr>
        <w:t>2.及时完成不合格食品的核查处置工作，一般案件在80日内结案并上传系统，提高80日办结率，其他案件（含异议处置）在90日内完成。</w:t>
      </w:r>
    </w:p>
    <w:p w:rsidR="00EE1571" w:rsidRPr="00D8376D" w:rsidRDefault="00EE1571">
      <w:pPr>
        <w:rPr>
          <w:rFonts w:ascii="仿宋_GB2312" w:eastAsia="仿宋_GB2312"/>
          <w:color w:val="000000" w:themeColor="text1"/>
          <w:sz w:val="32"/>
          <w:szCs w:val="32"/>
        </w:rPr>
      </w:pPr>
    </w:p>
    <w:p w:rsidR="00EE1571" w:rsidRPr="00D8376D" w:rsidRDefault="00EE1571">
      <w:pPr>
        <w:rPr>
          <w:color w:val="000000" w:themeColor="text1"/>
        </w:rPr>
      </w:pPr>
    </w:p>
    <w:p w:rsidR="008539BB" w:rsidRPr="00D8376D" w:rsidRDefault="00BD0AB8">
      <w:pPr>
        <w:widowControl/>
        <w:jc w:val="left"/>
        <w:rPr>
          <w:rFonts w:ascii="黑体" w:eastAsia="黑体" w:hAnsi="黑体"/>
          <w:color w:val="000000" w:themeColor="text1"/>
          <w:sz w:val="32"/>
          <w:szCs w:val="32"/>
        </w:rPr>
      </w:pPr>
      <w:r w:rsidRPr="00D8376D">
        <w:rPr>
          <w:color w:val="000000" w:themeColor="text1"/>
        </w:rPr>
        <w:br w:type="page"/>
      </w:r>
      <w:r w:rsidRPr="00D8376D">
        <w:rPr>
          <w:rFonts w:ascii="黑体" w:eastAsia="黑体" w:hAnsi="黑体" w:hint="eastAsia"/>
          <w:color w:val="000000" w:themeColor="text1"/>
          <w:sz w:val="32"/>
          <w:szCs w:val="32"/>
        </w:rPr>
        <w:lastRenderedPageBreak/>
        <w:t>附件3：</w:t>
      </w:r>
    </w:p>
    <w:p w:rsidR="00EE1571" w:rsidRPr="00D8376D" w:rsidRDefault="00BD0AB8" w:rsidP="008539BB">
      <w:pPr>
        <w:widowControl/>
        <w:ind w:right="640"/>
        <w:jc w:val="center"/>
        <w:rPr>
          <w:rFonts w:ascii="方正小标宋简体" w:eastAsia="方正小标宋简体" w:hAnsi="黑体"/>
          <w:color w:val="000000" w:themeColor="text1"/>
          <w:sz w:val="36"/>
          <w:szCs w:val="36"/>
        </w:rPr>
      </w:pPr>
      <w:r w:rsidRPr="00D8376D">
        <w:rPr>
          <w:rFonts w:ascii="方正小标宋简体" w:eastAsia="方正小标宋简体" w:hAnsi="黑体" w:hint="eastAsia"/>
          <w:color w:val="000000" w:themeColor="text1"/>
          <w:sz w:val="36"/>
          <w:szCs w:val="36"/>
        </w:rPr>
        <w:t>区市场监管局抽样任务分配</w:t>
      </w:r>
    </w:p>
    <w:p w:rsidR="008539BB" w:rsidRPr="00D8376D" w:rsidRDefault="00BD0AB8">
      <w:pPr>
        <w:widowControl/>
        <w:jc w:val="left"/>
        <w:rPr>
          <w:rFonts w:ascii="仿宋_GB2312" w:eastAsia="仿宋_GB2312"/>
          <w:color w:val="000000" w:themeColor="text1"/>
          <w:sz w:val="32"/>
          <w:szCs w:val="32"/>
        </w:rPr>
      </w:pPr>
      <w:r w:rsidRPr="00D8376D">
        <w:rPr>
          <w:rFonts w:ascii="仿宋_GB2312" w:eastAsia="仿宋_GB2312" w:hint="eastAsia"/>
          <w:color w:val="000000" w:themeColor="text1"/>
          <w:sz w:val="32"/>
          <w:szCs w:val="32"/>
        </w:rPr>
        <w:t xml:space="preserve">     </w:t>
      </w:r>
    </w:p>
    <w:p w:rsidR="00EE1571" w:rsidRPr="00D8376D" w:rsidRDefault="00BD0AB8" w:rsidP="008539BB">
      <w:pPr>
        <w:widowControl/>
        <w:ind w:firstLineChars="200" w:firstLine="640"/>
        <w:jc w:val="left"/>
        <w:rPr>
          <w:rFonts w:ascii="仿宋_GB2312" w:eastAsia="仿宋_GB2312"/>
          <w:color w:val="000000" w:themeColor="text1"/>
          <w:sz w:val="32"/>
          <w:szCs w:val="32"/>
        </w:rPr>
      </w:pPr>
      <w:r w:rsidRPr="00D8376D">
        <w:rPr>
          <w:rFonts w:ascii="仿宋_GB2312" w:eastAsia="仿宋_GB2312" w:hint="eastAsia"/>
          <w:color w:val="000000" w:themeColor="text1"/>
          <w:sz w:val="32"/>
          <w:szCs w:val="32"/>
        </w:rPr>
        <w:t>为进一步提高抽样工作质量，在</w:t>
      </w:r>
      <w:r w:rsidR="008539BB" w:rsidRPr="00D8376D">
        <w:rPr>
          <w:rFonts w:ascii="仿宋_GB2312" w:eastAsia="仿宋_GB2312" w:hint="eastAsia"/>
          <w:color w:val="000000" w:themeColor="text1"/>
          <w:sz w:val="32"/>
          <w:szCs w:val="32"/>
        </w:rPr>
        <w:t>2022</w:t>
      </w:r>
      <w:r w:rsidRPr="00D8376D">
        <w:rPr>
          <w:rFonts w:ascii="仿宋_GB2312" w:eastAsia="仿宋_GB2312" w:hint="eastAsia"/>
          <w:color w:val="000000" w:themeColor="text1"/>
          <w:sz w:val="32"/>
          <w:szCs w:val="32"/>
        </w:rPr>
        <w:t>年基础上继续完善我局抽样队伍，具体由局抽样队和基层所抽样队共同组成。局抽样队由生产流通科、餐饮科、市场监管科、企业监管科各1人组成，具体抽样任务由生产流通科和餐饮科牵头负责，市场监管科和企业监管科协助做好抽样工作。基层所抽样队由各所执法人员组成，根据年度抽样任务自行安排抽样人员。</w:t>
      </w:r>
    </w:p>
    <w:p w:rsidR="00EE1571" w:rsidRPr="00D8376D" w:rsidRDefault="00EE1571">
      <w:pPr>
        <w:tabs>
          <w:tab w:val="left" w:pos="1890"/>
          <w:tab w:val="left" w:pos="3330"/>
        </w:tabs>
        <w:spacing w:line="600" w:lineRule="exact"/>
        <w:rPr>
          <w:rFonts w:ascii="仿宋_GB2312" w:eastAsia="仿宋_GB2312"/>
          <w:color w:val="000000" w:themeColor="text1"/>
          <w:sz w:val="32"/>
          <w:szCs w:val="32"/>
        </w:rPr>
      </w:pPr>
    </w:p>
    <w:sectPr w:rsidR="00EE1571" w:rsidRPr="00D8376D" w:rsidSect="00EE157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C3" w:rsidRDefault="000574C3" w:rsidP="00EE1571">
      <w:r>
        <w:separator/>
      </w:r>
    </w:p>
  </w:endnote>
  <w:endnote w:type="continuationSeparator" w:id="0">
    <w:p w:rsidR="000574C3" w:rsidRDefault="000574C3" w:rsidP="00EE15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华文中宋">
    <w:altName w:val="汉仪中宋简"/>
    <w:charset w:val="86"/>
    <w:family w:val="auto"/>
    <w:pitch w:val="variable"/>
    <w:sig w:usb0="00000287" w:usb1="080F0000" w:usb2="00000010" w:usb3="00000000" w:csb0="0004009F" w:csb1="00000000"/>
  </w:font>
  <w:font w:name="楷体">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altName w:val="方正书宋_GBK"/>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492149"/>
    </w:sdtPr>
    <w:sdtContent>
      <w:p w:rsidR="00EE1571" w:rsidRDefault="002C44C9">
        <w:pPr>
          <w:pStyle w:val="a3"/>
          <w:jc w:val="center"/>
        </w:pPr>
        <w:r w:rsidRPr="002C44C9">
          <w:fldChar w:fldCharType="begin"/>
        </w:r>
        <w:r w:rsidR="00BD0AB8">
          <w:instrText xml:space="preserve"> PAGE   \* MERGEFORMAT </w:instrText>
        </w:r>
        <w:r w:rsidRPr="002C44C9">
          <w:fldChar w:fldCharType="separate"/>
        </w:r>
        <w:r w:rsidR="00041238" w:rsidRPr="00041238">
          <w:rPr>
            <w:noProof/>
            <w:lang w:val="zh-CN"/>
          </w:rPr>
          <w:t>10</w:t>
        </w:r>
        <w:r>
          <w:rPr>
            <w:lang w:val="zh-CN"/>
          </w:rPr>
          <w:fldChar w:fldCharType="end"/>
        </w:r>
      </w:p>
    </w:sdtContent>
  </w:sdt>
  <w:p w:rsidR="00EE1571" w:rsidRDefault="00EE157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C3" w:rsidRDefault="000574C3" w:rsidP="00EE1571">
      <w:r>
        <w:separator/>
      </w:r>
    </w:p>
  </w:footnote>
  <w:footnote w:type="continuationSeparator" w:id="0">
    <w:p w:rsidR="000574C3" w:rsidRDefault="000574C3" w:rsidP="00EE15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0A62"/>
    <w:rsid w:val="844FDF0E"/>
    <w:rsid w:val="8BCFF636"/>
    <w:rsid w:val="9175F6C4"/>
    <w:rsid w:val="96FE8E89"/>
    <w:rsid w:val="AFE974A7"/>
    <w:rsid w:val="B7CFC713"/>
    <w:rsid w:val="BBF66CAB"/>
    <w:rsid w:val="BF577057"/>
    <w:rsid w:val="BFB3F275"/>
    <w:rsid w:val="C4EF92FC"/>
    <w:rsid w:val="C6FF294A"/>
    <w:rsid w:val="CDAFEDC7"/>
    <w:rsid w:val="CFDE9539"/>
    <w:rsid w:val="CFFF3B71"/>
    <w:rsid w:val="D1F51E83"/>
    <w:rsid w:val="DFFE7CF3"/>
    <w:rsid w:val="EFD3813D"/>
    <w:rsid w:val="F71ED728"/>
    <w:rsid w:val="F7EEEC54"/>
    <w:rsid w:val="FBD3B8CA"/>
    <w:rsid w:val="FBF786AB"/>
    <w:rsid w:val="FD7F649F"/>
    <w:rsid w:val="FDFBA3DD"/>
    <w:rsid w:val="FF9F81F9"/>
    <w:rsid w:val="FFAFCDD5"/>
    <w:rsid w:val="00005007"/>
    <w:rsid w:val="00026F8D"/>
    <w:rsid w:val="00041238"/>
    <w:rsid w:val="000574C3"/>
    <w:rsid w:val="00077C41"/>
    <w:rsid w:val="000E28F9"/>
    <w:rsid w:val="00176703"/>
    <w:rsid w:val="001E1D61"/>
    <w:rsid w:val="001E3BD5"/>
    <w:rsid w:val="001E546B"/>
    <w:rsid w:val="001F3AA7"/>
    <w:rsid w:val="001F4AC1"/>
    <w:rsid w:val="00291425"/>
    <w:rsid w:val="002C44C9"/>
    <w:rsid w:val="002D34B9"/>
    <w:rsid w:val="002E539B"/>
    <w:rsid w:val="002F6435"/>
    <w:rsid w:val="00301907"/>
    <w:rsid w:val="00364EA4"/>
    <w:rsid w:val="003A3B19"/>
    <w:rsid w:val="003D6A13"/>
    <w:rsid w:val="00446BA1"/>
    <w:rsid w:val="004C3B84"/>
    <w:rsid w:val="004F1874"/>
    <w:rsid w:val="00591539"/>
    <w:rsid w:val="005A61EB"/>
    <w:rsid w:val="005C35D0"/>
    <w:rsid w:val="00600081"/>
    <w:rsid w:val="006175B6"/>
    <w:rsid w:val="00634DA2"/>
    <w:rsid w:val="00645556"/>
    <w:rsid w:val="006A4769"/>
    <w:rsid w:val="006C289A"/>
    <w:rsid w:val="00756E36"/>
    <w:rsid w:val="007D63BA"/>
    <w:rsid w:val="008369B0"/>
    <w:rsid w:val="008539BB"/>
    <w:rsid w:val="008773B4"/>
    <w:rsid w:val="008A1D02"/>
    <w:rsid w:val="00916E80"/>
    <w:rsid w:val="009A09DF"/>
    <w:rsid w:val="009D2BA6"/>
    <w:rsid w:val="009D39AF"/>
    <w:rsid w:val="00A00096"/>
    <w:rsid w:val="00A0247A"/>
    <w:rsid w:val="00A16F44"/>
    <w:rsid w:val="00A53E58"/>
    <w:rsid w:val="00A551CD"/>
    <w:rsid w:val="00A84119"/>
    <w:rsid w:val="00AC463C"/>
    <w:rsid w:val="00AC7B8C"/>
    <w:rsid w:val="00AF3A71"/>
    <w:rsid w:val="00B150A3"/>
    <w:rsid w:val="00B66B61"/>
    <w:rsid w:val="00B87384"/>
    <w:rsid w:val="00BC0923"/>
    <w:rsid w:val="00BD0AB8"/>
    <w:rsid w:val="00BD139C"/>
    <w:rsid w:val="00BE29DA"/>
    <w:rsid w:val="00C27116"/>
    <w:rsid w:val="00C343B4"/>
    <w:rsid w:val="00C70DFF"/>
    <w:rsid w:val="00CF4260"/>
    <w:rsid w:val="00D27CDA"/>
    <w:rsid w:val="00D8376D"/>
    <w:rsid w:val="00E20A62"/>
    <w:rsid w:val="00E543CF"/>
    <w:rsid w:val="00E81204"/>
    <w:rsid w:val="00E859A5"/>
    <w:rsid w:val="00EC1B45"/>
    <w:rsid w:val="00EE1571"/>
    <w:rsid w:val="00F272AD"/>
    <w:rsid w:val="00F33AA3"/>
    <w:rsid w:val="00F43382"/>
    <w:rsid w:val="00F45EC6"/>
    <w:rsid w:val="00F7625E"/>
    <w:rsid w:val="00FA09BC"/>
    <w:rsid w:val="00FB1AB6"/>
    <w:rsid w:val="00FD6068"/>
    <w:rsid w:val="00FD63B4"/>
    <w:rsid w:val="17CE19AF"/>
    <w:rsid w:val="1E7FE38E"/>
    <w:rsid w:val="1EE7014B"/>
    <w:rsid w:val="35FF1808"/>
    <w:rsid w:val="3FBD2268"/>
    <w:rsid w:val="3FE7DE6A"/>
    <w:rsid w:val="5BFD1088"/>
    <w:rsid w:val="5FFF71C4"/>
    <w:rsid w:val="667C7D75"/>
    <w:rsid w:val="6D7BDA13"/>
    <w:rsid w:val="6DF32898"/>
    <w:rsid w:val="6FCD9ACA"/>
    <w:rsid w:val="6FDFA0DB"/>
    <w:rsid w:val="7631728A"/>
    <w:rsid w:val="780FF0DA"/>
    <w:rsid w:val="7B37795C"/>
    <w:rsid w:val="7DFE07C6"/>
    <w:rsid w:val="7F3E493B"/>
    <w:rsid w:val="7F6A78B0"/>
    <w:rsid w:val="7F7EB493"/>
    <w:rsid w:val="7F98D535"/>
    <w:rsid w:val="7FCE974D"/>
    <w:rsid w:val="7FFF44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E157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E157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EE1571"/>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qFormat/>
    <w:rsid w:val="00EE157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EE1571"/>
    <w:rPr>
      <w:sz w:val="18"/>
      <w:szCs w:val="18"/>
    </w:rPr>
  </w:style>
  <w:style w:type="character" w:customStyle="1" w:styleId="Char">
    <w:name w:val="页脚 Char"/>
    <w:basedOn w:val="a0"/>
    <w:link w:val="a3"/>
    <w:uiPriority w:val="99"/>
    <w:qFormat/>
    <w:rsid w:val="00EE1571"/>
    <w:rPr>
      <w:sz w:val="18"/>
      <w:szCs w:val="18"/>
    </w:rPr>
  </w:style>
  <w:style w:type="paragraph" w:styleId="a7">
    <w:name w:val="Balloon Text"/>
    <w:basedOn w:val="a"/>
    <w:link w:val="Char1"/>
    <w:uiPriority w:val="99"/>
    <w:semiHidden/>
    <w:unhideWhenUsed/>
    <w:rsid w:val="008539BB"/>
    <w:rPr>
      <w:sz w:val="18"/>
      <w:szCs w:val="18"/>
    </w:rPr>
  </w:style>
  <w:style w:type="character" w:customStyle="1" w:styleId="Char1">
    <w:name w:val="批注框文本 Char"/>
    <w:basedOn w:val="a0"/>
    <w:link w:val="a7"/>
    <w:uiPriority w:val="99"/>
    <w:semiHidden/>
    <w:rsid w:val="008539B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0DB150-1A73-4EFF-B6E1-BB792A93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changhesuo</dc:creator>
  <cp:lastModifiedBy>xbany</cp:lastModifiedBy>
  <cp:revision>5</cp:revision>
  <dcterms:created xsi:type="dcterms:W3CDTF">2023-06-19T09:05:00Z</dcterms:created>
  <dcterms:modified xsi:type="dcterms:W3CDTF">2023-11-23T07:48:00Z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