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2"/>
        </w:numPr>
        <w:spacing w:line="360" w:lineRule="auto"/>
        <w:rPr>
          <w:rFonts w:ascii="宋体" w:hAnsi="宋体" w:cs="宋体"/>
          <w:b/>
          <w:bCs/>
          <w:sz w:val="24"/>
        </w:rPr>
      </w:pPr>
      <w:r>
        <w:rPr>
          <w:rFonts w:hint="eastAsia" w:ascii="宋体" w:hAnsi="宋体" w:cs="宋体"/>
          <w:b/>
          <w:bCs/>
          <w:sz w:val="24"/>
        </w:rPr>
        <w:t>建设目标及要求</w:t>
      </w:r>
    </w:p>
    <w:p>
      <w:pPr>
        <w:pStyle w:val="2"/>
        <w:numPr>
          <w:ilvl w:val="1"/>
          <w:numId w:val="0"/>
        </w:numPr>
        <w:rPr>
          <w:rFonts w:cs="宋体"/>
          <w:sz w:val="24"/>
          <w:szCs w:val="24"/>
        </w:rPr>
      </w:pPr>
      <w:r>
        <w:rPr>
          <w:rFonts w:hint="eastAsia" w:cs="宋体"/>
          <w:sz w:val="24"/>
          <w:szCs w:val="24"/>
        </w:rPr>
        <w:t>1、建设目标、规模与内容</w:t>
      </w:r>
      <w:r>
        <w:rPr>
          <w:rFonts w:hint="eastAsia" w:cs="宋体"/>
          <w:sz w:val="24"/>
          <w:szCs w:val="24"/>
          <w:lang w:eastAsia="zh-CN"/>
        </w:rPr>
        <w:t>：</w:t>
      </w:r>
    </w:p>
    <w:p>
      <w:pPr>
        <w:spacing w:line="360" w:lineRule="auto"/>
        <w:ind w:firstLine="480" w:firstLineChars="200"/>
        <w:rPr>
          <w:rFonts w:hint="eastAsia"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根据规范执法办案需要，按照违法犯罪嫌疑人人身安全检查、随身物品存放、信息采集、询（讯）问以及候问等执法办案流程，合理规划、设计功能室的顺序和布局。关键是在设置布局时，要求强制性，使涉案人员、民警或办案区管理人员无法随意变更流程，或增加变更流程化操作难度，减少随意性。我们在办案区入口环节，从硬件上设置涉案人员待检区--信息登记安全检查--信息采集的单向流转；在办案区内流转中，根据实际工作中各个功能区使用频率合理进行布局，尽量减少涉案人员在各功能室之间流动，减少安全隐患；在涉案人员出口环节，要尽量避免在同一个口子进出，力求做到“进出不照面”。</w:t>
      </w:r>
    </w:p>
    <w:p>
      <w:pPr>
        <w:spacing w:line="360" w:lineRule="auto"/>
        <w:rPr>
          <w:rFonts w:ascii="宋体" w:hAnsi="宋体" w:cs="宋体"/>
          <w:sz w:val="24"/>
        </w:rPr>
      </w:pPr>
      <w:r>
        <w:rPr>
          <w:rFonts w:ascii="宋体" w:hAnsi="宋体" w:cs="宋体"/>
          <w:b/>
          <w:sz w:val="24"/>
        </w:rPr>
        <w:drawing>
          <wp:inline distT="0" distB="0" distL="114300" distR="114300">
            <wp:extent cx="5274310" cy="3188970"/>
            <wp:effectExtent l="0" t="0" r="254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274310" cy="3188970"/>
                    </a:xfrm>
                    <a:prstGeom prst="rect">
                      <a:avLst/>
                    </a:prstGeom>
                    <a:noFill/>
                    <a:ln>
                      <a:noFill/>
                    </a:ln>
                  </pic:spPr>
                </pic:pic>
              </a:graphicData>
            </a:graphic>
          </wp:inline>
        </w:drawing>
      </w:r>
    </w:p>
    <w:p>
      <w:pPr>
        <w:spacing w:line="360" w:lineRule="auto"/>
        <w:ind w:firstLine="480" w:firstLineChars="200"/>
        <w:rPr>
          <w:rFonts w:ascii="宋体" w:hAnsi="宋体" w:cs="宋体"/>
          <w:sz w:val="24"/>
        </w:rPr>
      </w:pPr>
      <w:r>
        <w:rPr>
          <w:rFonts w:hint="eastAsia" w:ascii="宋体" w:hAnsi="宋体" w:cs="宋体"/>
          <w:sz w:val="24"/>
        </w:rPr>
        <w:t>从实战出发，考虑周全仔细。就目前基层了解到的情况，以下几个方面还可以做到得更加精细化：一是在等候、侯问区域设置上，要从涉案人员从进入办案区到离开办案区期间，涉案人员复杂心理变化等因素，合理放置不同等候室。对已决定采取措施的涉案人员，必须放在视线最容易观察、防护等级最高的等候室内，防止意外情况发生。二是在人身安全检查时，要尽量让涉案人员主动拿出随身物品，避免开展“一刀切”式的人身安全检查，从而引起涉案人员的对抗甚至冲突。三是在信息采集时，要区别不同性质，明确哪些对象可以采集的信息和必须采集的信息。四是要充分考虑民警实战需要，在案情分析室或其他区域设置案件临时整理、尿样检测、保洁物品存放等区域。五是在标识标志牌的易用性、讯（询）问室内的降噪处理、应急报警的迅速定位、防护拦网等安全设置等方面，还可以进一步精细。</w:t>
      </w:r>
    </w:p>
    <w:p>
      <w:pPr>
        <w:spacing w:line="360" w:lineRule="auto"/>
        <w:ind w:firstLine="480" w:firstLineChars="200"/>
        <w:rPr>
          <w:rFonts w:ascii="宋体" w:hAnsi="宋体" w:cs="宋体"/>
          <w:sz w:val="24"/>
        </w:rPr>
      </w:pPr>
      <w:r>
        <w:rPr>
          <w:rFonts w:hint="eastAsia" w:ascii="宋体" w:hAnsi="宋体" w:cs="宋体"/>
          <w:sz w:val="24"/>
        </w:rPr>
        <w:t>执法办案管控平台和一些辅助管理的智能化设备。执法办案管控系统具备了对进出办案区的涉案人员、随身物品管理等基本功能，在此基础上，还将办案区视频、人员身份识别、人员室内轨迹、功能室使用控制，甚至弱电等通过信息化系统进行管理，从而强制促进办案区工作人员工作程序到位、操作步骤规范、执法行为安全。辅助管理的智能化设备，就是借用物联网技术，将信息化系统和办案区内硬件互联互通，让系统看得见东西、听得懂语言。比如，用于内部管理的办案区人员管理登记台账，可以利用可回溯式管理的电子签名和电子指纹技术，解决涉案人员签名问题，从而取消纸质台账；随身物品保管柜，可以融登记、拍照、保管、发还于一体，实现自助式管理；讯（询）问的声像监控可以根据需要进行同步录音录像和自动将信号同步至监督管理中心；设置尿样检测终端，尿样检测结果连同显示屏上涉案人员的姓名，自动抓拍照片固定成证据等等。</w:t>
      </w:r>
    </w:p>
    <w:p>
      <w:pPr>
        <w:spacing w:line="360" w:lineRule="auto"/>
        <w:ind w:firstLine="480" w:firstLineChars="200"/>
        <w:rPr>
          <w:rFonts w:ascii="宋体" w:hAnsi="宋体" w:cs="宋体"/>
          <w:sz w:val="24"/>
        </w:rPr>
      </w:pPr>
    </w:p>
    <w:p>
      <w:pPr>
        <w:pStyle w:val="3"/>
        <w:tabs>
          <w:tab w:val="clear" w:pos="864"/>
        </w:tabs>
        <w:spacing w:before="0" w:after="0" w:line="360" w:lineRule="auto"/>
        <w:ind w:left="567" w:hanging="425"/>
        <w:rPr>
          <w:rFonts w:ascii="宋体" w:hAnsi="宋体" w:eastAsia="宋体" w:cs="宋体"/>
          <w:sz w:val="24"/>
          <w:szCs w:val="24"/>
        </w:rPr>
      </w:pPr>
      <w:bookmarkStart w:id="0" w:name="_Toc493420095"/>
      <w:bookmarkStart w:id="1" w:name="_Toc474612139"/>
      <w:bookmarkStart w:id="2" w:name="_Toc1018"/>
      <w:r>
        <w:rPr>
          <w:rFonts w:hint="eastAsia" w:ascii="宋体" w:hAnsi="宋体" w:eastAsia="宋体" w:cs="宋体"/>
          <w:sz w:val="24"/>
          <w:szCs w:val="24"/>
        </w:rPr>
        <w:t>2、办案场所管理系统</w:t>
      </w:r>
      <w:bookmarkEnd w:id="0"/>
      <w:bookmarkEnd w:id="1"/>
      <w:bookmarkEnd w:id="2"/>
      <w:r>
        <w:rPr>
          <w:rFonts w:hint="eastAsia" w:ascii="宋体" w:hAnsi="宋体" w:eastAsia="宋体" w:cs="宋体"/>
          <w:sz w:val="24"/>
          <w:szCs w:val="24"/>
        </w:rPr>
        <w:t>建设要求</w:t>
      </w:r>
    </w:p>
    <w:p>
      <w:pPr>
        <w:pStyle w:val="4"/>
        <w:numPr>
          <w:ilvl w:val="4"/>
          <w:numId w:val="0"/>
        </w:numPr>
        <w:tabs>
          <w:tab w:val="left" w:pos="360"/>
        </w:tabs>
        <w:spacing w:line="360" w:lineRule="auto"/>
        <w:rPr>
          <w:rFonts w:ascii="宋体" w:hAnsi="宋体" w:cs="宋体"/>
          <w:sz w:val="24"/>
          <w:szCs w:val="24"/>
        </w:rPr>
      </w:pPr>
      <w:r>
        <w:rPr>
          <w:rFonts w:hint="eastAsia" w:ascii="宋体" w:hAnsi="宋体" w:cs="宋体"/>
          <w:sz w:val="24"/>
          <w:szCs w:val="24"/>
        </w:rPr>
        <w:t xml:space="preserve">公安机关办案区物联网管控平台软件       </w:t>
      </w:r>
    </w:p>
    <w:p>
      <w:pPr>
        <w:tabs>
          <w:tab w:val="left" w:pos="3255"/>
        </w:tabs>
        <w:spacing w:line="360" w:lineRule="auto"/>
        <w:ind w:firstLine="480" w:firstLineChars="200"/>
        <w:rPr>
          <w:rFonts w:ascii="宋体" w:hAnsi="宋体" w:cs="宋体"/>
          <w:sz w:val="24"/>
        </w:rPr>
      </w:pPr>
      <w:r>
        <w:rPr>
          <w:rFonts w:hint="eastAsia" w:ascii="宋体" w:hAnsi="宋体" w:cs="宋体"/>
          <w:sz w:val="24"/>
        </w:rPr>
        <w:t>①.系统对办案区智能设备提供管理功能，用于管理办案区所有智能设备以及对设备进行测试，同时智能设备管理系统需对办案区管理系统提供设备操作接口,管理的智能设备包括：</w:t>
      </w:r>
    </w:p>
    <w:p>
      <w:pPr>
        <w:pStyle w:val="13"/>
        <w:ind w:firstLine="480" w:firstLineChars="200"/>
        <w:rPr>
          <w:rFonts w:cs="宋体"/>
          <w:sz w:val="24"/>
          <w:szCs w:val="24"/>
        </w:rPr>
      </w:pPr>
      <w:r>
        <w:rPr>
          <w:rFonts w:hint="eastAsia" w:cs="宋体"/>
          <w:sz w:val="24"/>
          <w:szCs w:val="24"/>
        </w:rPr>
        <w:t>定位手环、天线、基站。</w:t>
      </w:r>
    </w:p>
    <w:p>
      <w:pPr>
        <w:pStyle w:val="13"/>
        <w:ind w:firstLine="480" w:firstLineChars="200"/>
        <w:rPr>
          <w:rFonts w:cs="宋体"/>
          <w:sz w:val="24"/>
          <w:szCs w:val="24"/>
        </w:rPr>
      </w:pPr>
      <w:r>
        <w:rPr>
          <w:rFonts w:hint="eastAsia" w:cs="宋体"/>
          <w:sz w:val="24"/>
          <w:szCs w:val="24"/>
        </w:rPr>
        <w:t>LED显示屏。</w:t>
      </w:r>
    </w:p>
    <w:p>
      <w:pPr>
        <w:pStyle w:val="13"/>
        <w:ind w:firstLine="480" w:firstLineChars="200"/>
        <w:rPr>
          <w:rFonts w:cs="宋体"/>
          <w:sz w:val="24"/>
          <w:szCs w:val="24"/>
        </w:rPr>
      </w:pPr>
      <w:r>
        <w:rPr>
          <w:rFonts w:hint="eastAsia" w:cs="宋体"/>
          <w:sz w:val="24"/>
          <w:szCs w:val="24"/>
        </w:rPr>
        <w:t>网络继电器。</w:t>
      </w:r>
    </w:p>
    <w:p>
      <w:pPr>
        <w:pStyle w:val="13"/>
        <w:ind w:firstLine="480" w:firstLineChars="200"/>
        <w:rPr>
          <w:rFonts w:cs="宋体"/>
          <w:sz w:val="24"/>
          <w:szCs w:val="24"/>
        </w:rPr>
      </w:pPr>
      <w:r>
        <w:rPr>
          <w:rFonts w:hint="eastAsia" w:cs="宋体"/>
          <w:sz w:val="24"/>
          <w:szCs w:val="24"/>
        </w:rPr>
        <w:t>网络读卡器。</w:t>
      </w:r>
    </w:p>
    <w:p>
      <w:pPr>
        <w:pStyle w:val="13"/>
        <w:ind w:firstLine="480" w:firstLineChars="200"/>
        <w:rPr>
          <w:rFonts w:cs="宋体"/>
          <w:sz w:val="24"/>
          <w:szCs w:val="24"/>
        </w:rPr>
      </w:pPr>
      <w:r>
        <w:rPr>
          <w:rFonts w:hint="eastAsia" w:cs="宋体"/>
          <w:sz w:val="24"/>
          <w:szCs w:val="24"/>
        </w:rPr>
        <w:t>网络摄像头、硬盘录像机。</w:t>
      </w:r>
    </w:p>
    <w:p>
      <w:pPr>
        <w:pStyle w:val="13"/>
        <w:ind w:firstLine="480" w:firstLineChars="200"/>
        <w:rPr>
          <w:rFonts w:cs="宋体"/>
          <w:sz w:val="24"/>
          <w:szCs w:val="24"/>
        </w:rPr>
      </w:pPr>
      <w:r>
        <w:rPr>
          <w:rFonts w:hint="eastAsia" w:cs="宋体"/>
          <w:sz w:val="24"/>
          <w:szCs w:val="24"/>
        </w:rPr>
        <w:t>其他智能设备。</w:t>
      </w:r>
    </w:p>
    <w:p>
      <w:pPr>
        <w:pStyle w:val="13"/>
        <w:ind w:firstLine="480" w:firstLineChars="200"/>
        <w:rPr>
          <w:rFonts w:cs="宋体"/>
          <w:sz w:val="24"/>
          <w:szCs w:val="24"/>
        </w:rPr>
      </w:pPr>
    </w:p>
    <w:p>
      <w:pPr>
        <w:pStyle w:val="4"/>
        <w:numPr>
          <w:ilvl w:val="4"/>
          <w:numId w:val="0"/>
        </w:numPr>
        <w:tabs>
          <w:tab w:val="left" w:pos="360"/>
        </w:tabs>
        <w:spacing w:line="360" w:lineRule="auto"/>
        <w:ind w:firstLine="480" w:firstLineChars="200"/>
        <w:rPr>
          <w:rFonts w:ascii="宋体" w:hAnsi="宋体" w:cs="宋体"/>
          <w:b w:val="0"/>
          <w:sz w:val="24"/>
          <w:szCs w:val="24"/>
        </w:rPr>
      </w:pPr>
      <w:r>
        <w:rPr>
          <w:rFonts w:hint="eastAsia" w:ascii="宋体" w:hAnsi="宋体" w:cs="宋体"/>
          <w:b w:val="0"/>
          <w:sz w:val="24"/>
          <w:szCs w:val="24"/>
        </w:rPr>
        <w:t>②.子系统人员进入办案区后，使用身份证刷卡，系统根据身份证号从常住人口、警综等系统中获取人员的基本信息；并自动将获取的数据填充到页面，减少办案民警进行手动输入的工作量，同时也可以对信息进行修改，查看。</w:t>
      </w:r>
    </w:p>
    <w:p>
      <w:pPr>
        <w:spacing w:line="360" w:lineRule="auto"/>
        <w:ind w:firstLine="480" w:firstLineChars="200"/>
        <w:rPr>
          <w:rFonts w:ascii="宋体" w:hAnsi="宋体" w:cs="宋体"/>
          <w:sz w:val="24"/>
        </w:rPr>
      </w:pPr>
      <w:r>
        <w:rPr>
          <w:rFonts w:hint="eastAsia" w:ascii="宋体" w:hAnsi="宋体" w:cs="宋体"/>
          <w:sz w:val="24"/>
        </w:rPr>
        <w:t>系统生成嫌疑人专属编号并与定位手环绑定后，将手环发放给嫌疑人通过物联网管控平台接口调用摄像头对随身物品拍照，控制随身物品存储柜，通过定位系统对人员进行定位跟踪。</w:t>
      </w:r>
    </w:p>
    <w:p>
      <w:pPr>
        <w:spacing w:line="360" w:lineRule="auto"/>
        <w:ind w:firstLine="480" w:firstLineChars="200"/>
        <w:jc w:val="center"/>
        <w:rPr>
          <w:rFonts w:ascii="宋体" w:hAnsi="宋体" w:cs="宋体"/>
          <w:sz w:val="24"/>
        </w:rPr>
      </w:pPr>
    </w:p>
    <w:p>
      <w:pPr>
        <w:pStyle w:val="4"/>
        <w:numPr>
          <w:ilvl w:val="4"/>
          <w:numId w:val="0"/>
        </w:numPr>
        <w:tabs>
          <w:tab w:val="left" w:pos="360"/>
        </w:tabs>
        <w:spacing w:line="360" w:lineRule="auto"/>
        <w:ind w:firstLine="480" w:firstLineChars="200"/>
        <w:rPr>
          <w:rFonts w:ascii="宋体" w:hAnsi="宋体" w:cs="宋体"/>
          <w:b w:val="0"/>
          <w:sz w:val="24"/>
          <w:szCs w:val="24"/>
        </w:rPr>
      </w:pPr>
      <w:bookmarkStart w:id="3" w:name="OLE_LINK28"/>
      <w:r>
        <w:rPr>
          <w:rFonts w:hint="eastAsia" w:ascii="宋体" w:hAnsi="宋体" w:cs="宋体"/>
          <w:b w:val="0"/>
          <w:sz w:val="24"/>
          <w:szCs w:val="24"/>
        </w:rPr>
        <w:t>③.当人员的基本信息，</w:t>
      </w:r>
      <w:bookmarkEnd w:id="3"/>
      <w:r>
        <w:rPr>
          <w:rFonts w:hint="eastAsia" w:ascii="宋体" w:hAnsi="宋体" w:cs="宋体"/>
          <w:b w:val="0"/>
          <w:sz w:val="24"/>
          <w:szCs w:val="24"/>
        </w:rPr>
        <w:t>手环信息，储物柜编号，等候室编号都登记完毕后，需要对人员的随身物品进行登记，当事人主动将随身物品放入储物盒，民警点击页面的拍照按钮，则对物品盒内的随身物品进行拍照，同时让当事人确认无误后，放入储物柜，并在系统的随身物品登记页面进行记录物品台账。</w:t>
      </w:r>
    </w:p>
    <w:p>
      <w:pPr>
        <w:spacing w:line="360" w:lineRule="auto"/>
        <w:ind w:firstLine="480" w:firstLineChars="200"/>
        <w:jc w:val="center"/>
        <w:rPr>
          <w:rFonts w:ascii="宋体" w:hAnsi="宋体" w:cs="宋体"/>
          <w:sz w:val="24"/>
        </w:rPr>
      </w:pPr>
    </w:p>
    <w:p>
      <w:pPr>
        <w:pStyle w:val="4"/>
        <w:numPr>
          <w:ilvl w:val="4"/>
          <w:numId w:val="0"/>
        </w:numPr>
        <w:tabs>
          <w:tab w:val="left" w:pos="360"/>
        </w:tabs>
        <w:spacing w:line="360" w:lineRule="auto"/>
        <w:ind w:firstLine="480" w:firstLineChars="200"/>
        <w:rPr>
          <w:rFonts w:ascii="宋体" w:hAnsi="宋体" w:cs="宋体"/>
          <w:b w:val="0"/>
          <w:sz w:val="24"/>
          <w:szCs w:val="24"/>
        </w:rPr>
      </w:pPr>
      <w:r>
        <w:rPr>
          <w:rFonts w:hint="eastAsia" w:ascii="宋体" w:hAnsi="宋体" w:cs="宋体"/>
          <w:b w:val="0"/>
          <w:sz w:val="24"/>
          <w:szCs w:val="24"/>
        </w:rPr>
        <w:t>④.系统根据各等候室的人员数量、性别、是否同案等条件，为人员分配到最合适的等候室，同时等候室的LED屏上会显示该人员的姓名。</w:t>
      </w:r>
    </w:p>
    <w:p>
      <w:pPr>
        <w:spacing w:line="360" w:lineRule="auto"/>
        <w:ind w:firstLine="480" w:firstLineChars="200"/>
        <w:rPr>
          <w:rFonts w:ascii="宋体" w:hAnsi="宋体" w:cs="宋体"/>
          <w:sz w:val="24"/>
        </w:rPr>
      </w:pPr>
      <w:r>
        <w:rPr>
          <w:rFonts w:hint="eastAsia" w:ascii="宋体" w:hAnsi="宋体" w:cs="宋体"/>
          <w:sz w:val="24"/>
        </w:rPr>
        <w:t>除了自动分配等候室以外，系统也提供了手动分配等候室的功能，办案民警在办案区人员界面查找到需要手动分配等候室的人员，点击分配等候室按钮，系统会将每个等候室中的人员以图形化界面展示，民警可根据实际情况将人员分配到最适合的等候室。</w:t>
      </w:r>
    </w:p>
    <w:p>
      <w:pPr>
        <w:spacing w:line="360" w:lineRule="auto"/>
        <w:ind w:firstLine="480" w:firstLineChars="200"/>
        <w:rPr>
          <w:rFonts w:ascii="宋体" w:hAnsi="宋体" w:cs="宋体"/>
          <w:sz w:val="24"/>
        </w:rPr>
      </w:pPr>
    </w:p>
    <w:p>
      <w:pPr>
        <w:pStyle w:val="4"/>
        <w:numPr>
          <w:ilvl w:val="4"/>
          <w:numId w:val="0"/>
        </w:numPr>
        <w:tabs>
          <w:tab w:val="left" w:pos="360"/>
        </w:tabs>
        <w:spacing w:line="360" w:lineRule="auto"/>
        <w:ind w:firstLine="480" w:firstLineChars="200"/>
        <w:rPr>
          <w:rFonts w:ascii="宋体" w:hAnsi="宋体" w:cs="宋体"/>
          <w:b w:val="0"/>
          <w:sz w:val="24"/>
          <w:szCs w:val="24"/>
        </w:rPr>
      </w:pPr>
      <w:r>
        <w:rPr>
          <w:rFonts w:hint="eastAsia" w:ascii="宋体" w:hAnsi="宋体" w:cs="宋体"/>
          <w:b w:val="0"/>
          <w:sz w:val="24"/>
          <w:szCs w:val="24"/>
        </w:rPr>
        <w:t>⑤.询/讯问室智能分配子系统</w:t>
      </w:r>
    </w:p>
    <w:p>
      <w:pPr>
        <w:spacing w:line="360" w:lineRule="auto"/>
        <w:ind w:firstLine="480" w:firstLineChars="200"/>
        <w:rPr>
          <w:rFonts w:ascii="宋体" w:hAnsi="宋体" w:cs="宋体"/>
          <w:sz w:val="24"/>
        </w:rPr>
      </w:pPr>
      <w:bookmarkStart w:id="4" w:name="OLE_LINK7"/>
      <w:r>
        <w:rPr>
          <w:rFonts w:hint="eastAsia" w:ascii="宋体" w:hAnsi="宋体" w:cs="宋体"/>
          <w:sz w:val="24"/>
        </w:rPr>
        <w:t>主要</w:t>
      </w:r>
      <w:bookmarkEnd w:id="4"/>
      <w:r>
        <w:rPr>
          <w:rFonts w:hint="eastAsia" w:ascii="宋体" w:hAnsi="宋体" w:cs="宋体"/>
          <w:sz w:val="24"/>
        </w:rPr>
        <w:t>用于对询\讯问室的使用状态进行查询，如是否空闲，使用民警，使用开始时间，排风扇状态，电子时钟状态，亲情电话状态，并能对房间内的电器设施进行控制。</w:t>
      </w:r>
    </w:p>
    <w:p>
      <w:pPr>
        <w:pStyle w:val="5"/>
        <w:widowControl/>
        <w:ind w:firstLine="480" w:firstLineChars="200"/>
        <w:rPr>
          <w:rFonts w:hAnsi="宋体" w:cs="宋体"/>
          <w:szCs w:val="24"/>
        </w:rPr>
      </w:pPr>
      <w:r>
        <w:rPr>
          <w:rFonts w:hint="eastAsia" w:hAnsi="宋体" w:cs="宋体"/>
          <w:szCs w:val="24"/>
        </w:rPr>
        <w:t>通过物联网管控平台可以刷智能手环获取人员信息，根据功能室使用情况以及人员情况，系统自动分配对应功能室并在等候区led进行信息提示，同时打开功能室电源，功能室led屏根据功能室使用情况显示相关信息（询/讯问室）以及人员基本信息等，完成询讯问后自动（定时）关闭房间电源。</w:t>
      </w:r>
    </w:p>
    <w:p>
      <w:pPr>
        <w:pStyle w:val="5"/>
        <w:widowControl/>
        <w:ind w:firstLine="480" w:firstLineChars="200"/>
        <w:rPr>
          <w:rFonts w:hAnsi="宋体" w:cs="宋体"/>
          <w:szCs w:val="24"/>
        </w:rPr>
      </w:pPr>
    </w:p>
    <w:p>
      <w:pPr>
        <w:pStyle w:val="4"/>
        <w:numPr>
          <w:ilvl w:val="4"/>
          <w:numId w:val="0"/>
        </w:numPr>
        <w:tabs>
          <w:tab w:val="left" w:pos="360"/>
        </w:tabs>
        <w:spacing w:line="360" w:lineRule="auto"/>
        <w:ind w:firstLine="480" w:firstLineChars="200"/>
        <w:rPr>
          <w:rFonts w:ascii="宋体" w:hAnsi="宋体" w:cs="宋体"/>
          <w:b w:val="0"/>
          <w:sz w:val="24"/>
          <w:szCs w:val="24"/>
        </w:rPr>
      </w:pPr>
      <w:r>
        <w:rPr>
          <w:rFonts w:hint="eastAsia" w:ascii="宋体" w:hAnsi="宋体" w:cs="宋体"/>
          <w:b w:val="0"/>
          <w:sz w:val="24"/>
          <w:szCs w:val="24"/>
        </w:rPr>
        <w:t>⑥.出区管理子系统</w:t>
      </w:r>
    </w:p>
    <w:p>
      <w:pPr>
        <w:spacing w:line="360" w:lineRule="auto"/>
        <w:ind w:firstLine="480" w:firstLineChars="200"/>
        <w:rPr>
          <w:rFonts w:ascii="宋体" w:hAnsi="宋体" w:cs="宋体"/>
          <w:sz w:val="24"/>
        </w:rPr>
      </w:pPr>
      <w:r>
        <w:rPr>
          <w:rFonts w:hint="eastAsia" w:ascii="宋体" w:hAnsi="宋体" w:cs="宋体"/>
          <w:sz w:val="24"/>
        </w:rPr>
        <w:t>临时出所：提交临时出所申请，由单位领导审批通过后，临时出所。回所后，点击人员归所。</w:t>
      </w:r>
    </w:p>
    <w:p>
      <w:pPr>
        <w:spacing w:line="360" w:lineRule="auto"/>
        <w:ind w:firstLine="480" w:firstLineChars="200"/>
        <w:rPr>
          <w:rFonts w:ascii="宋体" w:hAnsi="宋体" w:cs="宋体"/>
          <w:sz w:val="24"/>
        </w:rPr>
      </w:pPr>
      <w:r>
        <w:rPr>
          <w:rFonts w:hint="eastAsia" w:ascii="宋体" w:hAnsi="宋体" w:cs="宋体"/>
          <w:sz w:val="24"/>
        </w:rPr>
        <w:t>人员出所：提交出所申请，由单位领导审批通过后，出所。</w:t>
      </w:r>
    </w:p>
    <w:p>
      <w:pPr>
        <w:spacing w:line="360" w:lineRule="auto"/>
        <w:ind w:firstLine="480" w:firstLineChars="200"/>
        <w:rPr>
          <w:rFonts w:ascii="宋体" w:hAnsi="宋体" w:cs="宋体"/>
          <w:sz w:val="24"/>
        </w:rPr>
      </w:pPr>
      <w:r>
        <w:rPr>
          <w:rFonts w:hint="eastAsia" w:ascii="宋体" w:hAnsi="宋体" w:cs="宋体"/>
          <w:sz w:val="24"/>
        </w:rPr>
        <w:t>出所取物：人员在出所审批获得通过后，使用手环进行刷卡取物，系统调取人员入所时的随身物品照片，并自动打开随身物品柜，再次拍照保存，由人员签字后确认出所，以防止出现由于物品不一致而出现的争执。</w:t>
      </w:r>
    </w:p>
    <w:p>
      <w:pPr>
        <w:spacing w:line="360" w:lineRule="auto"/>
        <w:ind w:firstLine="480" w:firstLineChars="200"/>
        <w:rPr>
          <w:rFonts w:ascii="宋体" w:hAnsi="宋体" w:cs="宋体"/>
          <w:sz w:val="24"/>
        </w:rPr>
      </w:pPr>
      <w:r>
        <w:rPr>
          <w:rFonts w:hint="eastAsia" w:ascii="宋体" w:hAnsi="宋体" w:cs="宋体"/>
          <w:sz w:val="24"/>
        </w:rPr>
        <w:t>人员登记表：系统自动生成人员在所时的所有信息。</w:t>
      </w:r>
    </w:p>
    <w:p>
      <w:pPr>
        <w:spacing w:line="360" w:lineRule="auto"/>
        <w:ind w:firstLine="480" w:firstLineChars="200"/>
        <w:rPr>
          <w:rFonts w:ascii="宋体" w:hAnsi="宋体" w:cs="宋体"/>
          <w:sz w:val="24"/>
        </w:rPr>
      </w:pPr>
    </w:p>
    <w:p>
      <w:pPr>
        <w:pStyle w:val="4"/>
        <w:numPr>
          <w:ilvl w:val="4"/>
          <w:numId w:val="0"/>
        </w:numPr>
        <w:tabs>
          <w:tab w:val="left" w:pos="360"/>
        </w:tabs>
        <w:spacing w:line="360" w:lineRule="auto"/>
        <w:ind w:firstLine="480" w:firstLineChars="200"/>
        <w:rPr>
          <w:rFonts w:ascii="宋体" w:hAnsi="宋体" w:cs="宋体"/>
          <w:b w:val="0"/>
          <w:sz w:val="24"/>
          <w:szCs w:val="24"/>
        </w:rPr>
      </w:pPr>
      <w:r>
        <w:rPr>
          <w:rFonts w:hint="eastAsia" w:ascii="宋体" w:hAnsi="宋体" w:cs="宋体"/>
          <w:b w:val="0"/>
          <w:sz w:val="24"/>
          <w:szCs w:val="24"/>
        </w:rPr>
        <w:t>⑦.人员定位系统</w:t>
      </w:r>
    </w:p>
    <w:p>
      <w:pPr>
        <w:pStyle w:val="9"/>
        <w:ind w:firstLine="480" w:firstLineChars="200"/>
        <w:rPr>
          <w:rFonts w:hAnsi="宋体" w:cs="宋体"/>
          <w:szCs w:val="24"/>
        </w:rPr>
      </w:pPr>
      <w:r>
        <w:rPr>
          <w:rFonts w:hint="eastAsia" w:hAnsi="宋体" w:cs="宋体"/>
          <w:szCs w:val="24"/>
        </w:rPr>
        <w:t>智能定位子系统硬件部分由定位基站、定位标签（防拆腕带、定位卡片）等组成。</w:t>
      </w:r>
    </w:p>
    <w:p>
      <w:pPr>
        <w:pStyle w:val="9"/>
        <w:ind w:firstLine="480" w:firstLineChars="200"/>
        <w:rPr>
          <w:rFonts w:hAnsi="宋体" w:cs="宋体"/>
          <w:szCs w:val="24"/>
        </w:rPr>
      </w:pPr>
      <w:r>
        <w:rPr>
          <w:rFonts w:hint="eastAsia" w:hAnsi="宋体" w:cs="宋体"/>
          <w:szCs w:val="24"/>
        </w:rPr>
        <w:t>智能定位子系统通过为嫌疑人发放佩戴手环，实现手环与嫌疑人的唯一绑定关系，可以精确定位嫌疑人在办案中心的位置。</w:t>
      </w:r>
    </w:p>
    <w:p>
      <w:pPr>
        <w:pStyle w:val="9"/>
        <w:ind w:firstLine="480" w:firstLineChars="200"/>
        <w:rPr>
          <w:rFonts w:hAnsi="宋体" w:cs="宋体"/>
          <w:szCs w:val="24"/>
        </w:rPr>
      </w:pPr>
    </w:p>
    <w:p>
      <w:pPr>
        <w:spacing w:line="360" w:lineRule="auto"/>
        <w:ind w:left="420" w:leftChars="200"/>
        <w:rPr>
          <w:rFonts w:ascii="宋体" w:hAnsi="宋体" w:cs="宋体"/>
          <w:sz w:val="24"/>
        </w:rPr>
      </w:pPr>
    </w:p>
    <w:p>
      <w:pPr>
        <w:pStyle w:val="4"/>
        <w:numPr>
          <w:ilvl w:val="4"/>
          <w:numId w:val="0"/>
        </w:numPr>
        <w:tabs>
          <w:tab w:val="left" w:pos="360"/>
        </w:tabs>
        <w:spacing w:line="360" w:lineRule="auto"/>
        <w:ind w:firstLine="480" w:firstLineChars="200"/>
        <w:rPr>
          <w:rFonts w:ascii="宋体" w:hAnsi="宋体" w:cs="宋体"/>
          <w:b w:val="0"/>
          <w:sz w:val="24"/>
          <w:szCs w:val="24"/>
        </w:rPr>
      </w:pPr>
      <w:r>
        <w:rPr>
          <w:rFonts w:hint="eastAsia" w:ascii="宋体" w:hAnsi="宋体" w:cs="宋体"/>
          <w:b w:val="0"/>
          <w:sz w:val="24"/>
          <w:szCs w:val="24"/>
        </w:rPr>
        <w:t>⑧.人员预警系统</w:t>
      </w:r>
    </w:p>
    <w:p>
      <w:pPr>
        <w:spacing w:line="360" w:lineRule="auto"/>
        <w:ind w:firstLine="480" w:firstLineChars="200"/>
        <w:rPr>
          <w:rFonts w:ascii="宋体" w:hAnsi="宋体" w:cs="宋体"/>
          <w:sz w:val="24"/>
        </w:rPr>
      </w:pPr>
      <w:r>
        <w:rPr>
          <w:rFonts w:hint="eastAsia" w:ascii="宋体" w:hAnsi="宋体" w:cs="宋体"/>
          <w:sz w:val="24"/>
        </w:rPr>
        <w:t>通过智能手环定位对办案区人员在办案区内的异常信息（包括男女混关、同案犯接触、非功能区滞留、非正常出所等）进行分级预警，预警方式分为普通分色预警和警铃预警。</w:t>
      </w:r>
    </w:p>
    <w:p>
      <w:pPr>
        <w:numPr>
          <w:ilvl w:val="0"/>
          <w:numId w:val="3"/>
        </w:numPr>
        <w:spacing w:line="360" w:lineRule="auto"/>
        <w:ind w:left="0" w:firstLine="480" w:firstLineChars="200"/>
        <w:rPr>
          <w:rFonts w:ascii="宋体" w:hAnsi="宋体" w:cs="宋体"/>
          <w:sz w:val="24"/>
        </w:rPr>
      </w:pPr>
      <w:r>
        <w:rPr>
          <w:rFonts w:hint="eastAsia" w:ascii="宋体" w:hAnsi="宋体" w:cs="宋体"/>
          <w:sz w:val="24"/>
        </w:rPr>
        <w:t>男女混关，如果手环被定位系统感应在同一等候室，系统后台分析手环绑定的人员性别，如果性别不同，则认定为男女混关，进行预警。</w:t>
      </w:r>
    </w:p>
    <w:p>
      <w:pPr>
        <w:numPr>
          <w:ilvl w:val="0"/>
          <w:numId w:val="3"/>
        </w:numPr>
        <w:spacing w:line="360" w:lineRule="auto"/>
        <w:ind w:left="0" w:firstLine="480" w:firstLineChars="200"/>
        <w:rPr>
          <w:rFonts w:ascii="宋体" w:hAnsi="宋体" w:cs="宋体"/>
          <w:sz w:val="24"/>
        </w:rPr>
      </w:pPr>
      <w:r>
        <w:rPr>
          <w:rFonts w:hint="eastAsia" w:ascii="宋体" w:hAnsi="宋体" w:cs="宋体"/>
          <w:sz w:val="24"/>
        </w:rPr>
        <w:t>同案犯接触，如果不同手环被同一定位点感应，且手环之间距离超过系统设定值，系统后台分析手环绑定的人员是否同案，如果同案，则认定为同案接触，进行预警。</w:t>
      </w:r>
    </w:p>
    <w:p>
      <w:pPr>
        <w:numPr>
          <w:ilvl w:val="0"/>
          <w:numId w:val="3"/>
        </w:numPr>
        <w:spacing w:line="360" w:lineRule="auto"/>
        <w:ind w:left="0" w:firstLine="480" w:firstLineChars="200"/>
        <w:rPr>
          <w:rFonts w:ascii="宋体" w:hAnsi="宋体" w:cs="宋体"/>
          <w:sz w:val="24"/>
        </w:rPr>
      </w:pPr>
      <w:r>
        <w:rPr>
          <w:rFonts w:hint="eastAsia" w:ascii="宋体" w:hAnsi="宋体" w:cs="宋体"/>
          <w:sz w:val="24"/>
        </w:rPr>
        <w:t>非功能区滞留，系统对办案区区域进行功能区和非功能区划分，如有手环在非功能区被定位到，则认定人员非功能区滞留，进行预警，</w:t>
      </w:r>
    </w:p>
    <w:p>
      <w:pPr>
        <w:numPr>
          <w:ilvl w:val="0"/>
          <w:numId w:val="3"/>
        </w:numPr>
        <w:spacing w:line="360" w:lineRule="auto"/>
        <w:ind w:left="0" w:firstLine="480" w:firstLineChars="200"/>
        <w:rPr>
          <w:rFonts w:ascii="宋体" w:hAnsi="宋体" w:cs="宋体"/>
          <w:sz w:val="24"/>
        </w:rPr>
      </w:pPr>
      <w:r>
        <w:rPr>
          <w:rFonts w:hint="eastAsia" w:ascii="宋体" w:hAnsi="宋体" w:cs="宋体"/>
          <w:sz w:val="24"/>
        </w:rPr>
        <w:t>非正常出所，如果定位系统在设定时间内，无法感应到未审批出所的手环信息，则认定该人员非正常出所。</w:t>
      </w:r>
    </w:p>
    <w:p>
      <w:pPr>
        <w:spacing w:line="360" w:lineRule="auto"/>
        <w:ind w:left="420" w:leftChars="200"/>
        <w:rPr>
          <w:rFonts w:ascii="宋体" w:hAnsi="宋体" w:cs="宋体"/>
          <w:sz w:val="24"/>
        </w:rPr>
      </w:pPr>
    </w:p>
    <w:p>
      <w:pPr>
        <w:pStyle w:val="4"/>
        <w:numPr>
          <w:ilvl w:val="4"/>
          <w:numId w:val="0"/>
        </w:numPr>
        <w:tabs>
          <w:tab w:val="left" w:pos="360"/>
        </w:tabs>
        <w:spacing w:line="360" w:lineRule="auto"/>
        <w:ind w:firstLine="480" w:firstLineChars="200"/>
        <w:rPr>
          <w:rFonts w:ascii="宋体" w:hAnsi="宋体" w:cs="宋体"/>
          <w:b w:val="0"/>
          <w:sz w:val="24"/>
          <w:szCs w:val="24"/>
        </w:rPr>
      </w:pPr>
      <w:r>
        <w:rPr>
          <w:rFonts w:hint="eastAsia" w:ascii="宋体" w:hAnsi="宋体" w:cs="宋体"/>
          <w:b w:val="0"/>
          <w:sz w:val="24"/>
          <w:szCs w:val="24"/>
        </w:rPr>
        <w:t>⑨.巡更子系统</w:t>
      </w:r>
    </w:p>
    <w:p>
      <w:pPr>
        <w:pStyle w:val="14"/>
        <w:ind w:firstLine="480"/>
        <w:rPr>
          <w:rFonts w:ascii="宋体" w:hAnsi="宋体" w:cs="宋体"/>
          <w:sz w:val="24"/>
          <w:szCs w:val="24"/>
        </w:rPr>
      </w:pPr>
      <w:bookmarkStart w:id="5" w:name="OLE_LINK31"/>
      <w:r>
        <w:rPr>
          <w:rFonts w:hint="eastAsia" w:ascii="宋体" w:hAnsi="宋体" w:cs="宋体"/>
          <w:sz w:val="24"/>
          <w:szCs w:val="24"/>
        </w:rPr>
        <w:t>办案区设有巡更仪</w:t>
      </w:r>
      <w:bookmarkEnd w:id="5"/>
      <w:r>
        <w:rPr>
          <w:rFonts w:hint="eastAsia" w:ascii="宋体" w:hAnsi="宋体" w:cs="宋体"/>
          <w:sz w:val="24"/>
          <w:szCs w:val="24"/>
        </w:rPr>
        <w:t>，除保存巡更记录以外，可在系统后台设置巡更规则，通过系统设置固定的巡更时间，超过规定时间未巡更系统预警提醒，如未及时处理，办案区自动报警（警报声），比如可设置巡更人员在两个小时之内如果没有巡更刷卡，则系统会控制报警器进行报警提醒巡更人员。</w:t>
      </w:r>
    </w:p>
    <w:p>
      <w:pPr>
        <w:pStyle w:val="4"/>
        <w:numPr>
          <w:ilvl w:val="4"/>
          <w:numId w:val="0"/>
        </w:numPr>
        <w:tabs>
          <w:tab w:val="left" w:pos="360"/>
        </w:tabs>
        <w:spacing w:line="360" w:lineRule="auto"/>
        <w:ind w:firstLine="480" w:firstLineChars="200"/>
        <w:rPr>
          <w:rFonts w:ascii="宋体" w:hAnsi="宋体" w:cs="宋体"/>
          <w:b w:val="0"/>
          <w:sz w:val="24"/>
          <w:szCs w:val="24"/>
        </w:rPr>
      </w:pPr>
    </w:p>
    <w:p>
      <w:pPr>
        <w:pStyle w:val="4"/>
        <w:numPr>
          <w:ilvl w:val="4"/>
          <w:numId w:val="0"/>
        </w:numPr>
        <w:tabs>
          <w:tab w:val="left" w:pos="360"/>
        </w:tabs>
        <w:spacing w:line="360" w:lineRule="auto"/>
        <w:ind w:firstLine="480" w:firstLineChars="200"/>
        <w:rPr>
          <w:rFonts w:ascii="宋体" w:hAnsi="宋体" w:cs="宋体"/>
          <w:b w:val="0"/>
          <w:sz w:val="24"/>
          <w:szCs w:val="24"/>
        </w:rPr>
      </w:pPr>
      <w:r>
        <w:rPr>
          <w:rFonts w:hint="eastAsia" w:ascii="宋体" w:hAnsi="宋体" w:cs="宋体"/>
          <w:b w:val="0"/>
          <w:sz w:val="24"/>
          <w:szCs w:val="24"/>
        </w:rPr>
        <w:t>⑩.亲情电话子系统</w:t>
      </w:r>
    </w:p>
    <w:p>
      <w:pPr>
        <w:spacing w:line="360" w:lineRule="auto"/>
        <w:ind w:firstLine="480" w:firstLineChars="200"/>
        <w:rPr>
          <w:rFonts w:ascii="宋体" w:hAnsi="宋体" w:cs="宋体"/>
          <w:sz w:val="24"/>
        </w:rPr>
      </w:pPr>
      <w:r>
        <w:rPr>
          <w:rFonts w:hint="eastAsia" w:ascii="宋体" w:hAnsi="宋体" w:cs="宋体"/>
          <w:sz w:val="24"/>
        </w:rPr>
        <w:t>案区人员在审讯室需要打电话时，可用由民警通过页面申请亲情电话，审批通过后，由办案区人员刷手环进行通话，电话全程录音并记录，通话限制时间可以在系统后台设置，如果超过通话时间，则电话自动断电。</w:t>
      </w:r>
    </w:p>
    <w:p>
      <w:pPr>
        <w:spacing w:line="360" w:lineRule="auto"/>
        <w:ind w:firstLine="480" w:firstLineChars="200"/>
        <w:rPr>
          <w:rFonts w:ascii="宋体" w:hAnsi="宋体" w:cs="宋体"/>
          <w:sz w:val="24"/>
        </w:rPr>
      </w:pPr>
    </w:p>
    <w:p>
      <w:pPr>
        <w:pStyle w:val="4"/>
        <w:numPr>
          <w:ilvl w:val="4"/>
          <w:numId w:val="0"/>
        </w:numPr>
        <w:tabs>
          <w:tab w:val="left" w:pos="360"/>
        </w:tabs>
        <w:spacing w:line="360" w:lineRule="auto"/>
        <w:ind w:firstLine="480" w:firstLineChars="200"/>
        <w:rPr>
          <w:rFonts w:ascii="宋体" w:hAnsi="宋体" w:cs="宋体"/>
          <w:b w:val="0"/>
          <w:sz w:val="24"/>
          <w:szCs w:val="24"/>
        </w:rPr>
      </w:pPr>
      <w:r>
        <w:rPr>
          <w:rFonts w:ascii="宋体" w:hAnsi="Cambria Math" w:cs="Cambria Math"/>
          <w:b w:val="0"/>
          <w:sz w:val="24"/>
          <w:szCs w:val="24"/>
        </w:rPr>
        <w:t>⑪</w:t>
      </w:r>
      <w:r>
        <w:rPr>
          <w:rFonts w:hint="eastAsia" w:ascii="宋体" w:hAnsi="宋体" w:cs="宋体"/>
          <w:b w:val="0"/>
          <w:sz w:val="24"/>
          <w:szCs w:val="24"/>
        </w:rPr>
        <w:t>.电子台账子系统</w:t>
      </w:r>
    </w:p>
    <w:p>
      <w:pPr>
        <w:spacing w:line="360" w:lineRule="auto"/>
        <w:ind w:firstLine="480" w:firstLineChars="200"/>
        <w:rPr>
          <w:rFonts w:ascii="宋体" w:hAnsi="宋体" w:cs="宋体"/>
          <w:sz w:val="24"/>
        </w:rPr>
      </w:pPr>
      <w:r>
        <w:rPr>
          <w:rFonts w:hint="eastAsia" w:ascii="宋体" w:hAnsi="宋体" w:cs="宋体"/>
          <w:sz w:val="24"/>
        </w:rPr>
        <w:t>系统对嫌疑人信息、物品登记图片、行动轨迹等数据统一生成电子台账即人员登记表，并提供电子签名方式实现嫌疑人与民警在人员登记表中的签字功能。</w:t>
      </w:r>
    </w:p>
    <w:p>
      <w:pPr>
        <w:rPr>
          <w:rFonts w:ascii="宋体" w:hAnsi="宋体"/>
          <w:b/>
          <w:bCs/>
          <w:color w:val="FF0000"/>
          <w:sz w:val="24"/>
        </w:rPr>
      </w:pPr>
    </w:p>
    <w:p>
      <w:pPr>
        <w:rPr>
          <w:rFonts w:ascii="宋体" w:hAnsi="宋体"/>
          <w:b/>
          <w:bCs/>
          <w:sz w:val="24"/>
        </w:rPr>
        <w:sectPr>
          <w:headerReference r:id="rId4" w:type="first"/>
          <w:footerReference r:id="rId7" w:type="first"/>
          <w:headerReference r:id="rId3" w:type="default"/>
          <w:footerReference r:id="rId5" w:type="default"/>
          <w:footerReference r:id="rId6" w:type="even"/>
          <w:pgSz w:w="11906" w:h="16838"/>
          <w:pgMar w:top="1247" w:right="1418" w:bottom="1474" w:left="1418" w:header="851" w:footer="992" w:gutter="0"/>
          <w:cols w:space="720" w:num="1"/>
          <w:titlePg/>
          <w:docGrid w:linePitch="312" w:charSpace="0"/>
        </w:sectPr>
      </w:pPr>
    </w:p>
    <w:p>
      <w:pPr>
        <w:rPr>
          <w:rFonts w:ascii="宋体" w:hAnsi="宋体"/>
          <w:b/>
          <w:bCs/>
          <w:sz w:val="24"/>
          <w:highlight w:val="yellow"/>
        </w:rPr>
      </w:pPr>
      <w:r>
        <w:rPr>
          <w:rFonts w:hint="eastAsia" w:ascii="宋体" w:hAnsi="宋体"/>
          <w:b/>
          <w:bCs/>
          <w:sz w:val="24"/>
        </w:rPr>
        <w:t>二、采购清单</w:t>
      </w:r>
    </w:p>
    <w:tbl>
      <w:tblPr>
        <w:tblStyle w:val="10"/>
        <w:tblpPr w:leftFromText="180" w:rightFromText="180" w:vertAnchor="text" w:tblpY="1"/>
        <w:tblOverlap w:val="never"/>
        <w:tblW w:w="13525" w:type="dxa"/>
        <w:tblInd w:w="0" w:type="dxa"/>
        <w:tblLayout w:type="fixed"/>
        <w:tblCellMar>
          <w:top w:w="0" w:type="dxa"/>
          <w:left w:w="0" w:type="dxa"/>
          <w:bottom w:w="0" w:type="dxa"/>
          <w:right w:w="0" w:type="dxa"/>
        </w:tblCellMar>
      </w:tblPr>
      <w:tblGrid>
        <w:gridCol w:w="615"/>
        <w:gridCol w:w="582"/>
        <w:gridCol w:w="1014"/>
        <w:gridCol w:w="183"/>
        <w:gridCol w:w="1197"/>
        <w:gridCol w:w="6609"/>
        <w:gridCol w:w="1218"/>
        <w:gridCol w:w="12"/>
        <w:gridCol w:w="2095"/>
      </w:tblGrid>
      <w:tr>
        <w:tblPrEx>
          <w:tblCellMar>
            <w:top w:w="0" w:type="dxa"/>
            <w:left w:w="0" w:type="dxa"/>
            <w:bottom w:w="0" w:type="dxa"/>
            <w:right w:w="0" w:type="dxa"/>
          </w:tblCellMar>
        </w:tblPrEx>
        <w:trPr>
          <w:trHeight w:val="268" w:hRule="atLeast"/>
        </w:trPr>
        <w:tc>
          <w:tcPr>
            <w:tcW w:w="1197" w:type="dxa"/>
            <w:gridSpan w:val="2"/>
            <w:tcBorders>
              <w:top w:val="single" w:color="000000" w:sz="4" w:space="0"/>
              <w:left w:val="single" w:color="000000" w:sz="4" w:space="0"/>
              <w:bottom w:val="single" w:color="000000" w:sz="4" w:space="0"/>
              <w:right w:val="single" w:color="000000" w:sz="4" w:space="0"/>
            </w:tcBorders>
            <w:shd w:val="clear" w:color="auto" w:fill="FFFF00"/>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序号</w:t>
            </w:r>
          </w:p>
        </w:tc>
        <w:tc>
          <w:tcPr>
            <w:tcW w:w="1197" w:type="dxa"/>
            <w:gridSpan w:val="2"/>
            <w:tcBorders>
              <w:top w:val="single" w:color="000000" w:sz="4" w:space="0"/>
              <w:left w:val="single" w:color="000000" w:sz="4" w:space="0"/>
              <w:bottom w:val="single" w:color="000000" w:sz="4" w:space="0"/>
              <w:right w:val="single" w:color="000000" w:sz="4" w:space="0"/>
            </w:tcBorders>
            <w:shd w:val="clear" w:color="auto" w:fill="FFFF00"/>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物品名称</w:t>
            </w:r>
          </w:p>
        </w:tc>
        <w:tc>
          <w:tcPr>
            <w:tcW w:w="7806" w:type="dxa"/>
            <w:gridSpan w:val="2"/>
            <w:tcBorders>
              <w:top w:val="single" w:color="000000" w:sz="4" w:space="0"/>
              <w:left w:val="single" w:color="000000" w:sz="4" w:space="0"/>
              <w:bottom w:val="single" w:color="000000" w:sz="4" w:space="0"/>
              <w:right w:val="single" w:color="000000" w:sz="4" w:space="0"/>
            </w:tcBorders>
            <w:shd w:val="clear" w:color="auto" w:fill="FFFF00"/>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功能/参数</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00"/>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数量</w:t>
            </w:r>
          </w:p>
        </w:tc>
        <w:tc>
          <w:tcPr>
            <w:tcW w:w="2095" w:type="dxa"/>
            <w:tcBorders>
              <w:top w:val="single" w:color="000000" w:sz="4" w:space="0"/>
              <w:left w:val="single" w:color="000000" w:sz="4" w:space="0"/>
              <w:bottom w:val="single" w:color="000000" w:sz="4" w:space="0"/>
              <w:right w:val="single" w:color="000000" w:sz="4" w:space="0"/>
            </w:tcBorders>
            <w:shd w:val="clear" w:color="auto" w:fill="FFFF00"/>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单位</w:t>
            </w:r>
          </w:p>
        </w:tc>
      </w:tr>
      <w:tr>
        <w:tblPrEx>
          <w:tblCellMar>
            <w:top w:w="0" w:type="dxa"/>
            <w:left w:w="0" w:type="dxa"/>
            <w:bottom w:w="0" w:type="dxa"/>
            <w:right w:w="0" w:type="dxa"/>
          </w:tblCellMar>
        </w:tblPrEx>
        <w:trPr>
          <w:trHeight w:val="795" w:hRule="atLeast"/>
        </w:trPr>
        <w:tc>
          <w:tcPr>
            <w:tcW w:w="1197"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1197"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公安机关办案区物联网管控平台软件</w:t>
            </w:r>
          </w:p>
        </w:tc>
        <w:tc>
          <w:tcPr>
            <w:tcW w:w="11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基础模块</w:t>
            </w:r>
          </w:p>
        </w:tc>
        <w:tc>
          <w:tcPr>
            <w:tcW w:w="660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办案区人员信息登记：人员进入办案区后，通过集成设备对人员身份证等信息进行拍照保存。使用身份证刷卡，系统根据身份证号自动获取该人员的基本信息；并自动将获取的数据填充到页面，减少办案民警进行手动输入的工作量。  （2）随身物品关联分配：当事人主动将随身物品放入储物盒，此时全程摄像并拍照固定。系统通过手环将办案区人员的基本信息，随身物品信息等自动关联并且根据智能柜的空闲情况自动分配可用的储物格。建立智能手环与人员的关联关系，并通过智能手环对人员在办案区内的轨迹进行记录。 （3）亲情电话管理：办案区人员在办案区需要打电话时，可用由民警通过页面申请亲情电话，审批通过后，由办案区人员刷手环进行通话，电话全程录音并记录，通话限制时间可以在系统后台设置，如果超过通话时间，则电话自动断电。 （4）尿检管理：办案区人员需要进行尿检时，读取人员手环，则自动将人员信息填充至检测报告书，并能拍照将此次尿检结果固定并保存；人员的尿检记录会在系统保存，以备查询。 （5）刷卡取物：办案区人员在出所审批获得通过后，使用手环进行刷卡取物，系统调取人员入所时的随身物品照片，并自动打开随身物品柜，再次拍照确认，由当事人签字后出所。（6）智能笔录：制作笔录时，支持画中画功能（审讯室全景画面，被询问人画面）。民警在制作笔录同时被询问人也能通过分屏看到笔录一问一答的内容，系统还可以自动识别笔录内容并朗读相关内容。（7）强弱电辅助控制：出于对安全、规范的考虑，办案区讯问室强电控制采用的是弱电控制强电的方案，即办案区讯问室内不设开关，只有在讯问室收到被分配信号后，弱电会驱动强电自动开启光源及相关设备电源，系统会根据案件讯问的时间控制要求，严格按法定程序提醒办案时效。</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20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套</w:t>
            </w:r>
          </w:p>
        </w:tc>
      </w:tr>
      <w:tr>
        <w:tblPrEx>
          <w:tblCellMar>
            <w:top w:w="0" w:type="dxa"/>
            <w:left w:w="0" w:type="dxa"/>
            <w:bottom w:w="0" w:type="dxa"/>
            <w:right w:w="0" w:type="dxa"/>
          </w:tblCellMar>
        </w:tblPrEx>
        <w:trPr>
          <w:trHeight w:val="409" w:hRule="atLeast"/>
        </w:trPr>
        <w:tc>
          <w:tcPr>
            <w:tcW w:w="1197"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197"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19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人员定位模块</w:t>
            </w:r>
          </w:p>
        </w:tc>
        <w:tc>
          <w:tcPr>
            <w:tcW w:w="660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人员识别定位：通过半有源电子标签的应用，以电子标签作为目前最先进的标识码，将其安装在受控目标上，作为目标的唯一标识进行追踪和定位。工作时，管理人员通过联网的无线识别基站进行追踪和定位目标。（2）等候室分配：系统会根据各等候室的人员数量，人员性别，是否同案等条件，智能分配到最适合的等候室，同时等候室的LED屏上会显示该人员的姓名。除了自动分配等候室以外，也提供了手动分配等候室的功能，民警可根据实际情况将人员分配到最适合的等候室。（3）审讯室分配：人员进入等候区后，可以刷手环进行自动分配，系统会自动将人员分配到空闲的审讯室，人员类别为犯罪嫌疑人的，房间LED自动显示为讯问室；人员类别为违法行为的，房间LED自动显示为询问室，并且分配信息会在所分配的审讯室门上的LED显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20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套</w:t>
            </w:r>
          </w:p>
        </w:tc>
      </w:tr>
      <w:tr>
        <w:tblPrEx>
          <w:tblCellMar>
            <w:top w:w="0" w:type="dxa"/>
            <w:left w:w="0" w:type="dxa"/>
            <w:bottom w:w="0" w:type="dxa"/>
            <w:right w:w="0" w:type="dxa"/>
          </w:tblCellMar>
        </w:tblPrEx>
        <w:trPr>
          <w:trHeight w:val="795" w:hRule="atLeast"/>
        </w:trPr>
        <w:tc>
          <w:tcPr>
            <w:tcW w:w="1197"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197"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19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660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下列情况下，系统将予以预警设置：男女混关预警、同案预警、脱逃预警即办案区人员出办案区未经审核的；    </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20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套</w:t>
            </w:r>
          </w:p>
        </w:tc>
      </w:tr>
      <w:tr>
        <w:tblPrEx>
          <w:tblCellMar>
            <w:top w:w="0" w:type="dxa"/>
            <w:left w:w="0" w:type="dxa"/>
            <w:bottom w:w="0" w:type="dxa"/>
            <w:right w:w="0" w:type="dxa"/>
          </w:tblCellMar>
        </w:tblPrEx>
        <w:trPr>
          <w:trHeight w:val="795" w:hRule="atLeast"/>
        </w:trPr>
        <w:tc>
          <w:tcPr>
            <w:tcW w:w="1197"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197"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1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巡更模块</w:t>
            </w:r>
          </w:p>
        </w:tc>
        <w:tc>
          <w:tcPr>
            <w:tcW w:w="660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办案区设有巡更仪，除保存巡更记录以外，可在系统后台设置巡更规则，通过系统设置固定的巡更时间，超过规定时间未巡更系统预警提醒，如未及时处理，办案区自动报警（警报声），比如可设置巡更人员在两个小时之内如果没有巡更刷卡，则系统会控制报警器进行报警提醒巡更人员</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20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套</w:t>
            </w:r>
          </w:p>
        </w:tc>
      </w:tr>
      <w:tr>
        <w:tblPrEx>
          <w:tblCellMar>
            <w:top w:w="0" w:type="dxa"/>
            <w:left w:w="0" w:type="dxa"/>
            <w:bottom w:w="0" w:type="dxa"/>
            <w:right w:w="0" w:type="dxa"/>
          </w:tblCellMar>
        </w:tblPrEx>
        <w:trPr>
          <w:trHeight w:val="795" w:hRule="atLeast"/>
        </w:trPr>
        <w:tc>
          <w:tcPr>
            <w:tcW w:w="11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11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公安机关审讯指挥系统软件</w:t>
            </w:r>
          </w:p>
        </w:tc>
        <w:tc>
          <w:tcPr>
            <w:tcW w:w="780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1.审讯室登记，登记审讯室和对应的摄像头信息、IP地址、账号、密码等。2.审讯画面展示，显示各审讯室的审讯画面。3.同案口供对比，大屏显示笔录内容</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20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套</w:t>
            </w:r>
          </w:p>
        </w:tc>
      </w:tr>
      <w:tr>
        <w:tblPrEx>
          <w:tblCellMar>
            <w:top w:w="0" w:type="dxa"/>
            <w:left w:w="0" w:type="dxa"/>
            <w:bottom w:w="0" w:type="dxa"/>
            <w:right w:w="0" w:type="dxa"/>
          </w:tblCellMar>
        </w:tblPrEx>
        <w:trPr>
          <w:gridAfter w:val="2"/>
          <w:wAfter w:w="2107" w:type="dxa"/>
          <w:trHeight w:val="268" w:hRule="atLeast"/>
        </w:trPr>
        <w:tc>
          <w:tcPr>
            <w:tcW w:w="11418" w:type="dxa"/>
            <w:gridSpan w:val="7"/>
            <w:tcBorders>
              <w:top w:val="single" w:color="000000" w:sz="4" w:space="0"/>
              <w:left w:val="single" w:color="000000" w:sz="4" w:space="0"/>
              <w:bottom w:val="single" w:color="000000" w:sz="4" w:space="0"/>
              <w:right w:val="single" w:color="000000" w:sz="4" w:space="0"/>
            </w:tcBorders>
            <w:shd w:val="clear" w:color="auto" w:fill="FFFF00"/>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配套智能设备</w:t>
            </w:r>
          </w:p>
        </w:tc>
      </w:tr>
      <w:tr>
        <w:tblPrEx>
          <w:tblCellMar>
            <w:top w:w="0" w:type="dxa"/>
            <w:left w:w="0" w:type="dxa"/>
            <w:bottom w:w="0" w:type="dxa"/>
            <w:right w:w="0" w:type="dxa"/>
          </w:tblCellMar>
        </w:tblPrEx>
        <w:trPr>
          <w:trHeight w:val="268" w:hRule="atLeast"/>
        </w:trPr>
        <w:tc>
          <w:tcPr>
            <w:tcW w:w="11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序号</w:t>
            </w:r>
          </w:p>
        </w:tc>
        <w:tc>
          <w:tcPr>
            <w:tcW w:w="11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物品名称</w:t>
            </w:r>
          </w:p>
        </w:tc>
        <w:tc>
          <w:tcPr>
            <w:tcW w:w="780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功能/参数</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数量</w:t>
            </w:r>
          </w:p>
        </w:tc>
        <w:tc>
          <w:tcPr>
            <w:tcW w:w="20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单位</w:t>
            </w:r>
          </w:p>
        </w:tc>
      </w:tr>
      <w:tr>
        <w:tblPrEx>
          <w:tblCellMar>
            <w:top w:w="0" w:type="dxa"/>
            <w:left w:w="0" w:type="dxa"/>
            <w:bottom w:w="0" w:type="dxa"/>
            <w:right w:w="0" w:type="dxa"/>
          </w:tblCellMar>
        </w:tblPrEx>
        <w:trPr>
          <w:trHeight w:val="268" w:hRule="atLeast"/>
        </w:trPr>
        <w:tc>
          <w:tcPr>
            <w:tcW w:w="2394" w:type="dxa"/>
            <w:gridSpan w:val="4"/>
            <w:tcBorders>
              <w:top w:val="single" w:color="000000" w:sz="4" w:space="0"/>
              <w:left w:val="single" w:color="000000" w:sz="4" w:space="0"/>
              <w:bottom w:val="single" w:color="000000" w:sz="4" w:space="0"/>
              <w:right w:val="single" w:color="000000" w:sz="4" w:space="0"/>
            </w:tcBorders>
            <w:shd w:val="clear" w:color="auto" w:fill="FFFF00"/>
            <w:noWrap w:val="0"/>
            <w:tcMar>
              <w:top w:w="15" w:type="dxa"/>
              <w:left w:w="15" w:type="dxa"/>
              <w:right w:w="15" w:type="dxa"/>
            </w:tcMar>
            <w:vAlign w:val="center"/>
          </w:tcPr>
          <w:p>
            <w:pPr>
              <w:widowControl/>
              <w:jc w:val="left"/>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1、办案区</w:t>
            </w:r>
          </w:p>
        </w:tc>
        <w:tc>
          <w:tcPr>
            <w:tcW w:w="7806" w:type="dxa"/>
            <w:gridSpan w:val="2"/>
            <w:tcBorders>
              <w:top w:val="single" w:color="000000" w:sz="4" w:space="0"/>
              <w:left w:val="single" w:color="000000" w:sz="4" w:space="0"/>
              <w:bottom w:val="single" w:color="000000" w:sz="4" w:space="0"/>
              <w:right w:val="single" w:color="000000" w:sz="4" w:space="0"/>
            </w:tcBorders>
            <w:shd w:val="clear" w:color="auto" w:fill="FFFF00"/>
            <w:noWrap w:val="0"/>
            <w:tcMar>
              <w:top w:w="15" w:type="dxa"/>
              <w:left w:w="15" w:type="dxa"/>
              <w:right w:w="15" w:type="dxa"/>
            </w:tcMar>
            <w:vAlign w:val="center"/>
          </w:tcPr>
          <w:p>
            <w:pPr>
              <w:jc w:val="center"/>
              <w:rPr>
                <w:rFonts w:hint="eastAsia" w:ascii="宋体" w:hAnsi="宋体" w:cs="宋体"/>
                <w:b/>
                <w:color w:val="000000"/>
                <w:sz w:val="18"/>
                <w:szCs w:val="18"/>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00"/>
            <w:noWrap w:val="0"/>
            <w:tcMar>
              <w:top w:w="15" w:type="dxa"/>
              <w:left w:w="15" w:type="dxa"/>
              <w:right w:w="15" w:type="dxa"/>
            </w:tcMar>
            <w:vAlign w:val="center"/>
          </w:tcPr>
          <w:p>
            <w:pPr>
              <w:rPr>
                <w:rFonts w:hint="eastAsia" w:ascii="宋体" w:hAnsi="宋体" w:cs="宋体"/>
                <w:b/>
                <w:color w:val="000000"/>
                <w:sz w:val="18"/>
                <w:szCs w:val="18"/>
              </w:rPr>
            </w:pPr>
          </w:p>
        </w:tc>
        <w:tc>
          <w:tcPr>
            <w:tcW w:w="2095" w:type="dxa"/>
            <w:tcBorders>
              <w:top w:val="single" w:color="000000" w:sz="4" w:space="0"/>
              <w:left w:val="single" w:color="000000" w:sz="4" w:space="0"/>
              <w:bottom w:val="single" w:color="000000" w:sz="4" w:space="0"/>
              <w:right w:val="single" w:color="000000" w:sz="4" w:space="0"/>
            </w:tcBorders>
            <w:shd w:val="clear" w:color="auto" w:fill="FFFF00"/>
            <w:noWrap w:val="0"/>
            <w:tcMar>
              <w:top w:w="15" w:type="dxa"/>
              <w:left w:w="15" w:type="dxa"/>
              <w:right w:w="15" w:type="dxa"/>
            </w:tcMar>
            <w:vAlign w:val="center"/>
          </w:tcPr>
          <w:p>
            <w:pPr>
              <w:rPr>
                <w:rFonts w:hint="eastAsia" w:ascii="宋体" w:hAnsi="宋体" w:cs="宋体"/>
                <w:b/>
                <w:color w:val="000000"/>
                <w:sz w:val="18"/>
                <w:szCs w:val="18"/>
              </w:rPr>
            </w:pPr>
          </w:p>
        </w:tc>
      </w:tr>
      <w:tr>
        <w:tblPrEx>
          <w:tblCellMar>
            <w:top w:w="0" w:type="dxa"/>
            <w:left w:w="0" w:type="dxa"/>
            <w:bottom w:w="0" w:type="dxa"/>
            <w:right w:w="0" w:type="dxa"/>
          </w:tblCellMar>
        </w:tblPrEx>
        <w:trPr>
          <w:trHeight w:val="268" w:hRule="atLeast"/>
        </w:trPr>
        <w:tc>
          <w:tcPr>
            <w:tcW w:w="2394" w:type="dxa"/>
            <w:gridSpan w:val="4"/>
            <w:tcBorders>
              <w:top w:val="single" w:color="000000" w:sz="4" w:space="0"/>
              <w:left w:val="single" w:color="000000" w:sz="4" w:space="0"/>
              <w:bottom w:val="single" w:color="000000" w:sz="4" w:space="0"/>
              <w:right w:val="single" w:color="000000" w:sz="4" w:space="0"/>
            </w:tcBorders>
            <w:shd w:val="clear" w:color="auto" w:fill="FFFF00"/>
            <w:noWrap w:val="0"/>
            <w:tcMar>
              <w:top w:w="15" w:type="dxa"/>
              <w:left w:w="15" w:type="dxa"/>
              <w:right w:w="15" w:type="dxa"/>
            </w:tcMar>
            <w:vAlign w:val="center"/>
          </w:tcPr>
          <w:p>
            <w:pPr>
              <w:widowControl/>
              <w:jc w:val="left"/>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登记大厅、待检区</w:t>
            </w:r>
          </w:p>
        </w:tc>
        <w:tc>
          <w:tcPr>
            <w:tcW w:w="7806" w:type="dxa"/>
            <w:gridSpan w:val="2"/>
            <w:tcBorders>
              <w:top w:val="single" w:color="000000" w:sz="4" w:space="0"/>
              <w:left w:val="single" w:color="000000" w:sz="4" w:space="0"/>
              <w:bottom w:val="single" w:color="000000" w:sz="4" w:space="0"/>
              <w:right w:val="single" w:color="000000" w:sz="4" w:space="0"/>
            </w:tcBorders>
            <w:shd w:val="clear" w:color="auto" w:fill="FFFF00"/>
            <w:noWrap w:val="0"/>
            <w:tcMar>
              <w:top w:w="15" w:type="dxa"/>
              <w:left w:w="15" w:type="dxa"/>
              <w:right w:w="15" w:type="dxa"/>
            </w:tcMar>
            <w:vAlign w:val="center"/>
          </w:tcPr>
          <w:p>
            <w:pPr>
              <w:jc w:val="center"/>
              <w:rPr>
                <w:rFonts w:hint="eastAsia" w:ascii="宋体" w:hAnsi="宋体" w:cs="宋体"/>
                <w:b/>
                <w:color w:val="000000"/>
                <w:sz w:val="18"/>
                <w:szCs w:val="18"/>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00"/>
            <w:noWrap w:val="0"/>
            <w:tcMar>
              <w:top w:w="15" w:type="dxa"/>
              <w:left w:w="15" w:type="dxa"/>
              <w:right w:w="15" w:type="dxa"/>
            </w:tcMar>
            <w:vAlign w:val="center"/>
          </w:tcPr>
          <w:p>
            <w:pPr>
              <w:rPr>
                <w:rFonts w:hint="eastAsia" w:ascii="宋体" w:hAnsi="宋体" w:cs="宋体"/>
                <w:b/>
                <w:color w:val="000000"/>
                <w:sz w:val="18"/>
                <w:szCs w:val="18"/>
              </w:rPr>
            </w:pPr>
          </w:p>
        </w:tc>
        <w:tc>
          <w:tcPr>
            <w:tcW w:w="2095" w:type="dxa"/>
            <w:tcBorders>
              <w:top w:val="single" w:color="000000" w:sz="4" w:space="0"/>
              <w:left w:val="single" w:color="000000" w:sz="4" w:space="0"/>
              <w:bottom w:val="single" w:color="000000" w:sz="4" w:space="0"/>
              <w:right w:val="single" w:color="000000" w:sz="4" w:space="0"/>
            </w:tcBorders>
            <w:shd w:val="clear" w:color="auto" w:fill="FFFF00"/>
            <w:noWrap w:val="0"/>
            <w:tcMar>
              <w:top w:w="15" w:type="dxa"/>
              <w:left w:w="15" w:type="dxa"/>
              <w:right w:w="15" w:type="dxa"/>
            </w:tcMar>
            <w:vAlign w:val="center"/>
          </w:tcPr>
          <w:p>
            <w:pPr>
              <w:rPr>
                <w:rFonts w:hint="eastAsia" w:ascii="宋体" w:hAnsi="宋体" w:cs="宋体"/>
                <w:b/>
                <w:color w:val="000000"/>
                <w:sz w:val="18"/>
                <w:szCs w:val="18"/>
              </w:rPr>
            </w:pPr>
          </w:p>
        </w:tc>
      </w:tr>
      <w:tr>
        <w:tblPrEx>
          <w:tblCellMar>
            <w:top w:w="0" w:type="dxa"/>
            <w:left w:w="0" w:type="dxa"/>
            <w:bottom w:w="0" w:type="dxa"/>
            <w:right w:w="0" w:type="dxa"/>
          </w:tblCellMar>
        </w:tblPrEx>
        <w:trPr>
          <w:trHeight w:val="268" w:hRule="atLeast"/>
        </w:trPr>
        <w:tc>
          <w:tcPr>
            <w:tcW w:w="119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w:t>
            </w:r>
          </w:p>
        </w:tc>
        <w:tc>
          <w:tcPr>
            <w:tcW w:w="119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电视机</w:t>
            </w:r>
          </w:p>
        </w:tc>
        <w:tc>
          <w:tcPr>
            <w:tcW w:w="780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功能：通过大尺寸LED显示屏翻页显示“执法办案区安全管理规定”和进入执法办案区流程视频。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参数：屏幕尺寸：不小于58英寸；分辨率：不小于3840*2160；操作系统：Android7.0；面板类型：A+级屏；能效等级：二级；背光灯类型：LED发光二极管；产品品类：网络电视,LED液晶电视,智能电视,全高清电视；</w:t>
            </w:r>
          </w:p>
        </w:tc>
        <w:tc>
          <w:tcPr>
            <w:tcW w:w="12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2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台</w:t>
            </w:r>
          </w:p>
        </w:tc>
      </w:tr>
      <w:tr>
        <w:tblPrEx>
          <w:tblCellMar>
            <w:top w:w="0" w:type="dxa"/>
            <w:left w:w="0" w:type="dxa"/>
            <w:bottom w:w="0" w:type="dxa"/>
            <w:right w:w="0" w:type="dxa"/>
          </w:tblCellMar>
        </w:tblPrEx>
        <w:trPr>
          <w:trHeight w:val="268" w:hRule="atLeast"/>
        </w:trPr>
        <w:tc>
          <w:tcPr>
            <w:tcW w:w="1197"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w:t>
            </w:r>
          </w:p>
        </w:tc>
        <w:tc>
          <w:tcPr>
            <w:tcW w:w="11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可视分机</w:t>
            </w:r>
          </w:p>
        </w:tc>
        <w:tc>
          <w:tcPr>
            <w:tcW w:w="780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1080P高清视频、可弱光补偿，采用铝合金面板，含ABS防火安装底盒、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 内六角固定螺丝、专用装卸工具，具有防拆、防人为暴力破坏功能。可嵌入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 式安装在监仓内的墙壁上；也可安装于监区其它需要对讲的墙壁上。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功能简介：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·双键呼叫：用于犯人紧急情况下报警、事件咨询。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·双工对讲：可与IP网络主机双工可视对讲。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·监听、监视：可接收IP网络主机、监仓门口机的监听、监视，可作监听头用。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·喧哗报警：分机处于持续喧哗并超过一定分贝时，可自动向主机报警。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·广播播放：可通过网络接收主机的MP3文件广播或喊话。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·录音录像：基于标准的 ONVIF 协议，可将自带内置摄像头和麦克所采集到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 的音视频，实时传输到网络硬盘录像机（NVR/HDVR）上进行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 存储、回放。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·VOIP电话接入：支持标准SIP通讯协议，可与VOIP电话进行双向对讲。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·通话变声：主机开启变声功能，可实现将通话语音进行变声处理传输到对方。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·消防强切：当有消防报警时，自动将广播声音强切到最大音量。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·指令控制：可以接受第三方软件的控制指令，播放指定的音频文件。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·防拆报警：当有人为非法强拆时，可自动向主机报警。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·报警联动：报警呼叫时，通过TCP连接与其它平台联动。如：开启监控摄像头。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·数据保密：对传输中的数据进行加密，以防止他人窃听利用，使通话更安全。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·接口多样：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①两路输入：可外接2对门磁或探头等开关量输出的设备。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②两路输出：可外接电控锁、报警联动设备。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③其它接口：可外接防水按钮、门灯、咪头、有源音箱、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 录音设备。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·供电方式：自身供电</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20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台</w:t>
            </w:r>
          </w:p>
        </w:tc>
      </w:tr>
      <w:tr>
        <w:tblPrEx>
          <w:tblCellMar>
            <w:top w:w="0" w:type="dxa"/>
            <w:left w:w="0" w:type="dxa"/>
            <w:bottom w:w="0" w:type="dxa"/>
            <w:right w:w="0" w:type="dxa"/>
          </w:tblCellMar>
        </w:tblPrEx>
        <w:trPr>
          <w:trHeight w:val="268" w:hRule="atLeast"/>
        </w:trPr>
        <w:tc>
          <w:tcPr>
            <w:tcW w:w="2394" w:type="dxa"/>
            <w:gridSpan w:val="4"/>
            <w:tcBorders>
              <w:top w:val="single" w:color="000000" w:sz="4" w:space="0"/>
              <w:left w:val="single" w:color="000000" w:sz="4" w:space="0"/>
              <w:bottom w:val="single" w:color="000000" w:sz="4" w:space="0"/>
              <w:right w:val="single" w:color="000000" w:sz="4" w:space="0"/>
            </w:tcBorders>
            <w:shd w:val="clear" w:color="auto" w:fill="FFFF00"/>
            <w:noWrap w:val="0"/>
            <w:tcMar>
              <w:top w:w="15" w:type="dxa"/>
              <w:left w:w="15" w:type="dxa"/>
              <w:right w:w="15" w:type="dxa"/>
            </w:tcMar>
            <w:vAlign w:val="center"/>
          </w:tcPr>
          <w:p>
            <w:pPr>
              <w:widowControl/>
              <w:jc w:val="left"/>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信息采集区</w:t>
            </w:r>
          </w:p>
        </w:tc>
        <w:tc>
          <w:tcPr>
            <w:tcW w:w="7806" w:type="dxa"/>
            <w:gridSpan w:val="2"/>
            <w:tcBorders>
              <w:top w:val="single" w:color="000000" w:sz="4" w:space="0"/>
              <w:left w:val="single" w:color="000000" w:sz="4" w:space="0"/>
              <w:bottom w:val="single" w:color="000000" w:sz="4" w:space="0"/>
              <w:right w:val="single" w:color="000000" w:sz="4" w:space="0"/>
            </w:tcBorders>
            <w:shd w:val="clear" w:color="auto" w:fill="FFFF00"/>
            <w:noWrap w:val="0"/>
            <w:tcMar>
              <w:top w:w="15" w:type="dxa"/>
              <w:left w:w="15" w:type="dxa"/>
              <w:right w:w="15" w:type="dxa"/>
            </w:tcMar>
            <w:vAlign w:val="center"/>
          </w:tcPr>
          <w:p>
            <w:pPr>
              <w:jc w:val="center"/>
              <w:rPr>
                <w:rFonts w:hint="eastAsia" w:ascii="宋体" w:hAnsi="宋体" w:cs="宋体"/>
                <w:b/>
                <w:color w:val="000000"/>
                <w:sz w:val="18"/>
                <w:szCs w:val="18"/>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00"/>
            <w:noWrap w:val="0"/>
            <w:tcMar>
              <w:top w:w="15" w:type="dxa"/>
              <w:left w:w="15" w:type="dxa"/>
              <w:right w:w="15" w:type="dxa"/>
            </w:tcMar>
            <w:vAlign w:val="center"/>
          </w:tcPr>
          <w:p>
            <w:pPr>
              <w:jc w:val="center"/>
              <w:rPr>
                <w:rFonts w:hint="eastAsia" w:ascii="宋体" w:hAnsi="宋体" w:cs="宋体"/>
                <w:color w:val="000000"/>
                <w:sz w:val="20"/>
                <w:szCs w:val="20"/>
              </w:rPr>
            </w:pPr>
          </w:p>
        </w:tc>
        <w:tc>
          <w:tcPr>
            <w:tcW w:w="2095" w:type="dxa"/>
            <w:tcBorders>
              <w:top w:val="single" w:color="000000" w:sz="4" w:space="0"/>
              <w:left w:val="single" w:color="000000" w:sz="4" w:space="0"/>
              <w:bottom w:val="single" w:color="000000" w:sz="4" w:space="0"/>
              <w:right w:val="single" w:color="000000" w:sz="4" w:space="0"/>
            </w:tcBorders>
            <w:shd w:val="clear" w:color="auto" w:fill="FFFF00"/>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77" w:hRule="atLeast"/>
        </w:trPr>
        <w:tc>
          <w:tcPr>
            <w:tcW w:w="1197"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11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智能存取管理设备</w:t>
            </w:r>
          </w:p>
        </w:tc>
        <w:tc>
          <w:tcPr>
            <w:tcW w:w="780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功能：</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1.使用场景：应用于办案区内对物品进行存放；</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2.实现功能：单向随身物品存取设备，通过物品智能存取管理设备，规范执法对象随身物品存取，能够实现与办案区系统无缝对接，全面实现软、硬件与人、案、物集成关联，集成电子化台账配套设备；</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参数：</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1.柜体：单面存取；尺寸：长约900mm，宽约500mm，高约1980mm；共2个隔口,可用尺寸：355mm*595mm；柜体材质：不小于1.0mm冷轧钢板/镀锌钢板；</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2.显示器：存取物操作屏尺寸：不小于42英寸；分辨率：不小于1080*1920；输入接口：VGA&amp;DVI;触摸类型：红外/电容；</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3.工控机：数量：1个；配置：不小于i5CPU；不小于120G固态硬盘；不小于4G内存；支持系统：win7/win8/win10/Linux；工作电压：DC12V-5A；</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4.读卡器：接口：USB;工作频率：13.56MHz；射频标准：ISO14443A；读卡类型：FM11RF08、FM11RF32、MIFARE Mini、MIFARE Classic 1K(S50)、MIFARE Classic 4K(S70)、Ultralight、Ultralight C、NTAG、其它兼容卡；系统兼容：Windows 98/2000/NT/XP/Vista/7/8、Linux、Android、OS X、其它支持USB键盘的系统；</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5.交换机：接口数：8口；传输速度:百兆；</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6.喇叭：共振频率：500±20%Hz；</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7.配件：签字屏：尺寸：不小于5寸；</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8.储物盒：内嵌22L储物盒2个、材质：PPC；</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20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个</w:t>
            </w:r>
          </w:p>
        </w:tc>
      </w:tr>
      <w:tr>
        <w:tblPrEx>
          <w:tblCellMar>
            <w:top w:w="0" w:type="dxa"/>
            <w:left w:w="0" w:type="dxa"/>
            <w:bottom w:w="0" w:type="dxa"/>
            <w:right w:w="0" w:type="dxa"/>
          </w:tblCellMar>
        </w:tblPrEx>
        <w:trPr>
          <w:trHeight w:val="477" w:hRule="atLeast"/>
        </w:trPr>
        <w:tc>
          <w:tcPr>
            <w:tcW w:w="1197"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1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智能存取管理设备</w:t>
            </w:r>
          </w:p>
        </w:tc>
        <w:tc>
          <w:tcPr>
            <w:tcW w:w="780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功能：</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1.使用场景：应用于办案区内对物品进行存放；</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2.实现功能：单向随身物品存取设备，通过物品智能存取管理设备，规范执法对象随身物品存取，能够实现与办案区系统无缝对接，全面实现软、硬件与人、案、物集成关联，集成电子化台账配套设备；</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3.需与主柜配合使用；副柜参数：约长960mm，宽500mm，高1980mm，共16个柜门，内嵌12L存储盒10个、22L的存储盒6个；单面开启，带门控系统。</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20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个</w:t>
            </w:r>
          </w:p>
        </w:tc>
      </w:tr>
      <w:tr>
        <w:tblPrEx>
          <w:tblCellMar>
            <w:top w:w="0" w:type="dxa"/>
            <w:left w:w="0" w:type="dxa"/>
            <w:bottom w:w="0" w:type="dxa"/>
            <w:right w:w="0" w:type="dxa"/>
          </w:tblCellMar>
        </w:tblPrEx>
        <w:trPr>
          <w:trHeight w:val="268" w:hRule="atLeast"/>
        </w:trPr>
        <w:tc>
          <w:tcPr>
            <w:tcW w:w="11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c>
          <w:tcPr>
            <w:tcW w:w="11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签名数位板</w:t>
            </w:r>
          </w:p>
        </w:tc>
        <w:tc>
          <w:tcPr>
            <w:tcW w:w="780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尺寸：约161.43x174.37x10.85mm，主机重量：约0.279kg，工作温度及湿度：5至40摄氏度；湿度：30%至80%RH(无结露)，存储温度及湿度：-20至60摄氏度；湿度：30%至90%RH (无结露)，通信接口：USB类型A、miniB，接口连接线：定制mini USB线，功耗：最高1.0W，显示面板：FSTN正面反射式，屏幕尺寸：不小于4.5inch，像素点距：0.30(水平)*0.30（垂直）mm，视角 @ CR&gt;=10 (水平/垂直)；数位板活动区域：95.985 x 59.985 mm；分辨率：2540 lpi 或 0.01 mm/点</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20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台</w:t>
            </w:r>
          </w:p>
        </w:tc>
      </w:tr>
      <w:tr>
        <w:tblPrEx>
          <w:tblCellMar>
            <w:top w:w="0" w:type="dxa"/>
            <w:left w:w="0" w:type="dxa"/>
            <w:bottom w:w="0" w:type="dxa"/>
            <w:right w:w="0" w:type="dxa"/>
          </w:tblCellMar>
        </w:tblPrEx>
        <w:trPr>
          <w:trHeight w:val="477" w:hRule="atLeast"/>
        </w:trPr>
        <w:tc>
          <w:tcPr>
            <w:tcW w:w="11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c>
          <w:tcPr>
            <w:tcW w:w="11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信息登记拼接桌</w:t>
            </w:r>
          </w:p>
        </w:tc>
        <w:tc>
          <w:tcPr>
            <w:tcW w:w="780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功能：信息登记拼接单位，用于放置随身物品，可读取手环信息，二代身份证信息。</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参数：尺寸：约785mm*690mm*640mm，不小于2.0mm冷轧钢板，钣金定制 ，集成RFID读卡器：完全支持uem4100兼容格式ID卡(64bits,Manchester编码)；产品尺寸约96mm×61mm。二代证读卡器：采用USB接口，无需外接电源，可直接使用。随机阅读软件自动设置通讯口和通讯参数，自动找卡和读卡采集人员信息。</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20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张</w:t>
            </w:r>
          </w:p>
        </w:tc>
      </w:tr>
      <w:tr>
        <w:tblPrEx>
          <w:tblCellMar>
            <w:top w:w="0" w:type="dxa"/>
            <w:left w:w="0" w:type="dxa"/>
            <w:bottom w:w="0" w:type="dxa"/>
            <w:right w:w="0" w:type="dxa"/>
          </w:tblCellMar>
        </w:tblPrEx>
        <w:trPr>
          <w:trHeight w:val="268" w:hRule="atLeast"/>
        </w:trPr>
        <w:tc>
          <w:tcPr>
            <w:tcW w:w="11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w:t>
            </w:r>
          </w:p>
        </w:tc>
        <w:tc>
          <w:tcPr>
            <w:tcW w:w="11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网络摄像机</w:t>
            </w:r>
          </w:p>
        </w:tc>
        <w:tc>
          <w:tcPr>
            <w:tcW w:w="780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1/2.8" CMOS，不小于300万，12mm镜头，DC12V / PoE(802.3af)，IP66，背光补偿，数字宽动态，ROI，IK10</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20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个</w:t>
            </w:r>
          </w:p>
        </w:tc>
      </w:tr>
      <w:tr>
        <w:tblPrEx>
          <w:tblCellMar>
            <w:top w:w="0" w:type="dxa"/>
            <w:left w:w="0" w:type="dxa"/>
            <w:bottom w:w="0" w:type="dxa"/>
            <w:right w:w="0" w:type="dxa"/>
          </w:tblCellMar>
        </w:tblPrEx>
        <w:trPr>
          <w:trHeight w:val="477" w:hRule="atLeast"/>
        </w:trPr>
        <w:tc>
          <w:tcPr>
            <w:tcW w:w="11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7</w:t>
            </w:r>
          </w:p>
        </w:tc>
        <w:tc>
          <w:tcPr>
            <w:tcW w:w="11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手持式金属探测器</w:t>
            </w:r>
          </w:p>
        </w:tc>
        <w:tc>
          <w:tcPr>
            <w:tcW w:w="780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功能：通过金属探测仪对执法对象进行人身安全检查，防止夹带金属物品进入执法办案功能区。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参数：采用智能节能技术，可连续工作超40个小时，低电量自动告警，测距大于9CM。</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20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个</w:t>
            </w:r>
          </w:p>
        </w:tc>
      </w:tr>
      <w:tr>
        <w:tblPrEx>
          <w:tblCellMar>
            <w:top w:w="0" w:type="dxa"/>
            <w:left w:w="0" w:type="dxa"/>
            <w:bottom w:w="0" w:type="dxa"/>
            <w:right w:w="0" w:type="dxa"/>
          </w:tblCellMar>
        </w:tblPrEx>
        <w:trPr>
          <w:trHeight w:val="477" w:hRule="atLeast"/>
        </w:trPr>
        <w:tc>
          <w:tcPr>
            <w:tcW w:w="11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8</w:t>
            </w:r>
          </w:p>
        </w:tc>
        <w:tc>
          <w:tcPr>
            <w:tcW w:w="11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多功能红外线测温仪</w:t>
            </w:r>
          </w:p>
        </w:tc>
        <w:tc>
          <w:tcPr>
            <w:tcW w:w="780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功能：通过体温探测仪对执法对象进行体温探测，防止由于身体不适导致的意外情况发生。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参数：安全探测不伤身，闪电测体温只需一秒，自动测量。</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20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个</w:t>
            </w:r>
          </w:p>
        </w:tc>
      </w:tr>
      <w:tr>
        <w:tblPrEx>
          <w:tblCellMar>
            <w:top w:w="0" w:type="dxa"/>
            <w:left w:w="0" w:type="dxa"/>
            <w:bottom w:w="0" w:type="dxa"/>
            <w:right w:w="0" w:type="dxa"/>
          </w:tblCellMar>
        </w:tblPrEx>
        <w:trPr>
          <w:trHeight w:val="477" w:hRule="atLeast"/>
        </w:trPr>
        <w:tc>
          <w:tcPr>
            <w:tcW w:w="11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9</w:t>
            </w:r>
          </w:p>
        </w:tc>
        <w:tc>
          <w:tcPr>
            <w:tcW w:w="11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智能电子防拆腕带</w:t>
            </w:r>
          </w:p>
        </w:tc>
        <w:tc>
          <w:tcPr>
            <w:tcW w:w="780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参数：识别距离 ： 0～ 150米；识别速度 ： 120公里 / 小时 ；识别能力：具备200张/秒的防冲突性能 ；识别方式 ： 全向识别；工作频段 ： 2.4 GHz &amp;有源125KHz&amp;13.56M；通讯速率 ： 250Kb/s、1Mb/s、2Mb/s；通信机制 ：基于时分多址和码分多址同步通信机制；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抗干扰性 ： 频道隔离技术，多个设备互不干扰；安全性：加密计算与安全认证，防止链路侦测；重力传感 ： 支持；功耗标准 ： 平均工作功率为微瓦级；电池配置 ： 配置CR2450锂锰纽扣电池，容量550mAh；使用寿命 ： 1~1.5 年，使用授权密钥可更换电池；腕带材质：TPSIV+ABS材质；环境特性 ： 工作温度－40℃ ～85℃   工作湿度＜95％；防水等级：IP68；可靠性 ： 防浸泡防冲击，满足工业环境要求；外形：腕带或脚镣型；尺寸 ：约 15.14×45.90×280mm；重量 ：约55.6g；</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18</w:t>
            </w:r>
          </w:p>
        </w:tc>
        <w:tc>
          <w:tcPr>
            <w:tcW w:w="20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个</w:t>
            </w:r>
          </w:p>
        </w:tc>
      </w:tr>
      <w:tr>
        <w:tblPrEx>
          <w:tblCellMar>
            <w:top w:w="0" w:type="dxa"/>
            <w:left w:w="0" w:type="dxa"/>
            <w:bottom w:w="0" w:type="dxa"/>
            <w:right w:w="0" w:type="dxa"/>
          </w:tblCellMar>
        </w:tblPrEx>
        <w:trPr>
          <w:trHeight w:val="715" w:hRule="atLeast"/>
        </w:trPr>
        <w:tc>
          <w:tcPr>
            <w:tcW w:w="11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10</w:t>
            </w:r>
          </w:p>
        </w:tc>
        <w:tc>
          <w:tcPr>
            <w:tcW w:w="11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标准化信息采集系统硬件</w:t>
            </w:r>
          </w:p>
        </w:tc>
        <w:tc>
          <w:tcPr>
            <w:tcW w:w="780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参数：含系统软件。可集成计算机、摄像头、指掌纹采集仪或指纹采集仪、二代身份证阅读器、条形码阅读器、足迹仪、身高体重仪等；不小于21.5＂正屏液晶显示器集成于桌面上；支持无线及有线两种方式控制摄像头升降的内嵌专用支架；含指掌纹或指纹操作；CPU不小于i5-6500 ,内存不小于4G,硬盘不小于1T；摄像头不小于500万高清;通用USB不小于2.0口；</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20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台</w:t>
            </w:r>
          </w:p>
        </w:tc>
      </w:tr>
      <w:tr>
        <w:tblPrEx>
          <w:tblCellMar>
            <w:top w:w="0" w:type="dxa"/>
            <w:left w:w="0" w:type="dxa"/>
            <w:bottom w:w="0" w:type="dxa"/>
            <w:right w:w="0" w:type="dxa"/>
          </w:tblCellMar>
        </w:tblPrEx>
        <w:trPr>
          <w:trHeight w:val="268" w:hRule="atLeast"/>
        </w:trPr>
        <w:tc>
          <w:tcPr>
            <w:tcW w:w="2394" w:type="dxa"/>
            <w:gridSpan w:val="4"/>
            <w:tcBorders>
              <w:top w:val="single" w:color="000000" w:sz="4" w:space="0"/>
              <w:left w:val="single" w:color="000000" w:sz="4" w:space="0"/>
              <w:bottom w:val="single" w:color="000000" w:sz="4" w:space="0"/>
              <w:right w:val="single" w:color="000000" w:sz="4" w:space="0"/>
            </w:tcBorders>
            <w:shd w:val="clear" w:color="auto" w:fill="FFFF00"/>
            <w:noWrap w:val="0"/>
            <w:tcMar>
              <w:top w:w="15" w:type="dxa"/>
              <w:left w:w="15" w:type="dxa"/>
              <w:right w:w="15" w:type="dxa"/>
            </w:tcMar>
            <w:vAlign w:val="center"/>
          </w:tcPr>
          <w:p>
            <w:pPr>
              <w:widowControl/>
              <w:jc w:val="left"/>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智能讯（询）问室</w:t>
            </w:r>
          </w:p>
        </w:tc>
        <w:tc>
          <w:tcPr>
            <w:tcW w:w="7806" w:type="dxa"/>
            <w:gridSpan w:val="2"/>
            <w:tcBorders>
              <w:top w:val="single" w:color="000000" w:sz="4" w:space="0"/>
              <w:left w:val="single" w:color="000000" w:sz="4" w:space="0"/>
              <w:bottom w:val="single" w:color="000000" w:sz="4" w:space="0"/>
              <w:right w:val="single" w:color="000000" w:sz="4" w:space="0"/>
            </w:tcBorders>
            <w:shd w:val="clear" w:color="auto" w:fill="FFFF00"/>
            <w:noWrap w:val="0"/>
            <w:tcMar>
              <w:top w:w="15" w:type="dxa"/>
              <w:left w:w="15" w:type="dxa"/>
              <w:right w:w="15" w:type="dxa"/>
            </w:tcMar>
            <w:vAlign w:val="center"/>
          </w:tcPr>
          <w:p>
            <w:pPr>
              <w:jc w:val="center"/>
              <w:rPr>
                <w:rFonts w:hint="eastAsia" w:ascii="宋体" w:hAnsi="宋体" w:cs="宋体"/>
                <w:color w:val="000000"/>
                <w:sz w:val="18"/>
                <w:szCs w:val="18"/>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00"/>
            <w:noWrap w:val="0"/>
            <w:tcMar>
              <w:top w:w="15" w:type="dxa"/>
              <w:left w:w="15" w:type="dxa"/>
              <w:right w:w="15" w:type="dxa"/>
            </w:tcMar>
            <w:vAlign w:val="center"/>
          </w:tcPr>
          <w:p>
            <w:pPr>
              <w:jc w:val="center"/>
              <w:rPr>
                <w:rFonts w:hint="eastAsia" w:ascii="宋体" w:hAnsi="宋体" w:cs="宋体"/>
                <w:color w:val="000000"/>
                <w:sz w:val="20"/>
                <w:szCs w:val="20"/>
              </w:rPr>
            </w:pPr>
          </w:p>
        </w:tc>
        <w:tc>
          <w:tcPr>
            <w:tcW w:w="2095" w:type="dxa"/>
            <w:tcBorders>
              <w:top w:val="single" w:color="000000" w:sz="4" w:space="0"/>
              <w:left w:val="single" w:color="000000" w:sz="4" w:space="0"/>
              <w:bottom w:val="single" w:color="000000" w:sz="4" w:space="0"/>
              <w:right w:val="single" w:color="000000" w:sz="4" w:space="0"/>
            </w:tcBorders>
            <w:shd w:val="clear" w:color="auto" w:fill="FFFF00"/>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77" w:hRule="atLeast"/>
        </w:trPr>
        <w:tc>
          <w:tcPr>
            <w:tcW w:w="11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11</w:t>
            </w:r>
          </w:p>
        </w:tc>
        <w:tc>
          <w:tcPr>
            <w:tcW w:w="11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智能询讯问专用终端</w:t>
            </w:r>
          </w:p>
        </w:tc>
        <w:tc>
          <w:tcPr>
            <w:tcW w:w="780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功能：通过智能询讯问专用终端可以实现自助播报执法对象权利义务告知，集成所有案件类型电子笔录审讯提纲方便民警快速办案、与同步刻录系统无缝对接，可刻录案件审讯信息等。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参数：不小于i5CPU、不小于120G固态硬盘、不小于4G内存、不小于21.5寸双屏显示器、打印机、应急报警、一体化签字屏、报警装置对接总机、摄像机、当事人阅读屏等，尺寸：约长1640mm*宽770mm*高935mm；配备罗技鼠标、键盘。</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w:t>
            </w:r>
          </w:p>
        </w:tc>
        <w:tc>
          <w:tcPr>
            <w:tcW w:w="20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张</w:t>
            </w:r>
          </w:p>
        </w:tc>
      </w:tr>
      <w:tr>
        <w:tblPrEx>
          <w:tblCellMar>
            <w:top w:w="0" w:type="dxa"/>
            <w:left w:w="0" w:type="dxa"/>
            <w:bottom w:w="0" w:type="dxa"/>
            <w:right w:w="0" w:type="dxa"/>
          </w:tblCellMar>
        </w:tblPrEx>
        <w:trPr>
          <w:trHeight w:val="477" w:hRule="atLeast"/>
        </w:trPr>
        <w:tc>
          <w:tcPr>
            <w:tcW w:w="11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12</w:t>
            </w:r>
          </w:p>
        </w:tc>
        <w:tc>
          <w:tcPr>
            <w:tcW w:w="11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讯（询）问椅</w:t>
            </w:r>
          </w:p>
        </w:tc>
        <w:tc>
          <w:tcPr>
            <w:tcW w:w="780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功能：讯（询）问椅，阿基里斯皮，手部采用U型锁约束，胸部及腰部以约束带束缚；腿部以环形脚踏锁带手脚铐，控制嫌疑人。</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参数：尺寸：约700mm*720mm*700mm；</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w:t>
            </w:r>
          </w:p>
        </w:tc>
        <w:tc>
          <w:tcPr>
            <w:tcW w:w="20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张</w:t>
            </w:r>
          </w:p>
        </w:tc>
      </w:tr>
      <w:tr>
        <w:tblPrEx>
          <w:tblCellMar>
            <w:top w:w="0" w:type="dxa"/>
            <w:left w:w="0" w:type="dxa"/>
            <w:bottom w:w="0" w:type="dxa"/>
            <w:right w:w="0" w:type="dxa"/>
          </w:tblCellMar>
        </w:tblPrEx>
        <w:trPr>
          <w:trHeight w:val="477" w:hRule="atLeast"/>
        </w:trPr>
        <w:tc>
          <w:tcPr>
            <w:tcW w:w="11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13</w:t>
            </w:r>
          </w:p>
        </w:tc>
        <w:tc>
          <w:tcPr>
            <w:tcW w:w="11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温湿度显示屏</w:t>
            </w:r>
          </w:p>
        </w:tc>
        <w:tc>
          <w:tcPr>
            <w:tcW w:w="780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功能：通过网络时钟与摄像头相关联，实现对房间内时间、温度、湿度进行显示和断电后自动校对，保障执法对象权利。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参数：高精度时钟，年误差小于30s，性能稳定可靠静态显示，无噪音采集温、湿度数值和时间数据传送到计算机上，具有温湿度校准功能，尺寸为约600*400*50mm；支持485接口。</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w:t>
            </w:r>
          </w:p>
        </w:tc>
        <w:tc>
          <w:tcPr>
            <w:tcW w:w="20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个</w:t>
            </w:r>
          </w:p>
        </w:tc>
      </w:tr>
      <w:tr>
        <w:tblPrEx>
          <w:tblCellMar>
            <w:top w:w="0" w:type="dxa"/>
            <w:left w:w="0" w:type="dxa"/>
            <w:bottom w:w="0" w:type="dxa"/>
            <w:right w:w="0" w:type="dxa"/>
          </w:tblCellMar>
        </w:tblPrEx>
        <w:trPr>
          <w:trHeight w:val="268" w:hRule="atLeast"/>
        </w:trPr>
        <w:tc>
          <w:tcPr>
            <w:tcW w:w="11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14</w:t>
            </w:r>
          </w:p>
        </w:tc>
        <w:tc>
          <w:tcPr>
            <w:tcW w:w="11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LED显示屏</w:t>
            </w:r>
          </w:p>
        </w:tc>
        <w:tc>
          <w:tcPr>
            <w:tcW w:w="780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功能：通过与智能防拆电子腕带相关联，LED显示屏可以显示执法对象在办案区的状态。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参数：LED屏显：304*152，尺寸：约650*200*50mm；内扫描16扫，亚克力材质，双色显示。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w:t>
            </w:r>
          </w:p>
        </w:tc>
        <w:tc>
          <w:tcPr>
            <w:tcW w:w="20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个</w:t>
            </w:r>
          </w:p>
        </w:tc>
      </w:tr>
      <w:tr>
        <w:tblPrEx>
          <w:tblCellMar>
            <w:top w:w="0" w:type="dxa"/>
            <w:left w:w="0" w:type="dxa"/>
            <w:bottom w:w="0" w:type="dxa"/>
            <w:right w:w="0" w:type="dxa"/>
          </w:tblCellMar>
        </w:tblPrEx>
        <w:trPr>
          <w:trHeight w:val="268" w:hRule="atLeast"/>
        </w:trPr>
        <w:tc>
          <w:tcPr>
            <w:tcW w:w="11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15</w:t>
            </w:r>
          </w:p>
        </w:tc>
        <w:tc>
          <w:tcPr>
            <w:tcW w:w="11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耳机</w:t>
            </w:r>
          </w:p>
        </w:tc>
        <w:tc>
          <w:tcPr>
            <w:tcW w:w="780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插头直径：3.5mm，缆线长度：约1.2m，带麦克风，耳机插头类型：L弯型。耳机类型：有线。灵敏度：98dB/mW频响范围：20-20000H阻抗：16Ω颜色分类：新款黑色</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w:t>
            </w:r>
          </w:p>
        </w:tc>
        <w:tc>
          <w:tcPr>
            <w:tcW w:w="20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个</w:t>
            </w:r>
          </w:p>
        </w:tc>
      </w:tr>
      <w:tr>
        <w:tblPrEx>
          <w:tblCellMar>
            <w:top w:w="0" w:type="dxa"/>
            <w:left w:w="0" w:type="dxa"/>
            <w:bottom w:w="0" w:type="dxa"/>
            <w:right w:w="0" w:type="dxa"/>
          </w:tblCellMar>
        </w:tblPrEx>
        <w:trPr>
          <w:trHeight w:val="268" w:hRule="atLeast"/>
        </w:trPr>
        <w:tc>
          <w:tcPr>
            <w:tcW w:w="2394" w:type="dxa"/>
            <w:gridSpan w:val="4"/>
            <w:tcBorders>
              <w:top w:val="single" w:color="000000" w:sz="4" w:space="0"/>
              <w:left w:val="single" w:color="000000" w:sz="4" w:space="0"/>
              <w:bottom w:val="single" w:color="000000" w:sz="4" w:space="0"/>
              <w:right w:val="single" w:color="000000" w:sz="4" w:space="0"/>
            </w:tcBorders>
            <w:shd w:val="clear" w:color="auto" w:fill="FFFF00"/>
            <w:noWrap w:val="0"/>
            <w:tcMar>
              <w:top w:w="15" w:type="dxa"/>
              <w:left w:w="15" w:type="dxa"/>
              <w:right w:w="15" w:type="dxa"/>
            </w:tcMar>
            <w:vAlign w:val="center"/>
          </w:tcPr>
          <w:p>
            <w:pPr>
              <w:widowControl/>
              <w:jc w:val="left"/>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特殊讯（询）问室</w:t>
            </w:r>
          </w:p>
        </w:tc>
        <w:tc>
          <w:tcPr>
            <w:tcW w:w="7806" w:type="dxa"/>
            <w:gridSpan w:val="2"/>
            <w:tcBorders>
              <w:top w:val="single" w:color="000000" w:sz="4" w:space="0"/>
              <w:left w:val="single" w:color="000000" w:sz="4" w:space="0"/>
              <w:bottom w:val="single" w:color="000000" w:sz="4" w:space="0"/>
              <w:right w:val="single" w:color="000000" w:sz="4" w:space="0"/>
            </w:tcBorders>
            <w:shd w:val="clear" w:color="auto" w:fill="FFFF00"/>
            <w:noWrap w:val="0"/>
            <w:tcMar>
              <w:top w:w="15" w:type="dxa"/>
              <w:left w:w="15" w:type="dxa"/>
              <w:right w:w="15" w:type="dxa"/>
            </w:tcMar>
            <w:vAlign w:val="center"/>
          </w:tcPr>
          <w:p>
            <w:pPr>
              <w:jc w:val="center"/>
              <w:rPr>
                <w:rFonts w:hint="eastAsia" w:ascii="宋体" w:hAnsi="宋体" w:cs="宋体"/>
                <w:color w:val="000000"/>
                <w:sz w:val="18"/>
                <w:szCs w:val="18"/>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00"/>
            <w:noWrap w:val="0"/>
            <w:tcMar>
              <w:top w:w="15" w:type="dxa"/>
              <w:left w:w="15" w:type="dxa"/>
              <w:right w:w="15" w:type="dxa"/>
            </w:tcMar>
            <w:vAlign w:val="center"/>
          </w:tcPr>
          <w:p>
            <w:pPr>
              <w:jc w:val="center"/>
              <w:rPr>
                <w:rFonts w:hint="eastAsia" w:ascii="宋体" w:hAnsi="宋体" w:cs="宋体"/>
                <w:color w:val="000000"/>
                <w:sz w:val="20"/>
                <w:szCs w:val="20"/>
              </w:rPr>
            </w:pPr>
          </w:p>
        </w:tc>
        <w:tc>
          <w:tcPr>
            <w:tcW w:w="2095" w:type="dxa"/>
            <w:tcBorders>
              <w:top w:val="single" w:color="000000" w:sz="4" w:space="0"/>
              <w:left w:val="single" w:color="000000" w:sz="4" w:space="0"/>
              <w:bottom w:val="single" w:color="000000" w:sz="4" w:space="0"/>
              <w:right w:val="single" w:color="000000" w:sz="4" w:space="0"/>
            </w:tcBorders>
            <w:shd w:val="clear" w:color="auto" w:fill="FFFF00"/>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77" w:hRule="atLeast"/>
        </w:trPr>
        <w:tc>
          <w:tcPr>
            <w:tcW w:w="11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16</w:t>
            </w:r>
          </w:p>
        </w:tc>
        <w:tc>
          <w:tcPr>
            <w:tcW w:w="11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智能询讯问专用终端</w:t>
            </w:r>
          </w:p>
        </w:tc>
        <w:tc>
          <w:tcPr>
            <w:tcW w:w="780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功能：通过智能询讯问专用终端可以实现自助播报执法对象权利义务告知，集成所有案件类型电子笔录审讯提纲方便民警快速办案、与同步刻录系统无缝对接，可刻录案件审讯信息等。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参数：不小于i5CPU、不小于120G固态硬盘、不小于4G内存、不小于21.5寸双屏显示器、打印机、应急报警、一体化签字屏、报警装置对接总机、摄像机、当事人阅读屏等，尺寸：约长1640mm*宽770mm*高935mm；配备罗技鼠标、键盘。</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20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张</w:t>
            </w:r>
          </w:p>
        </w:tc>
      </w:tr>
      <w:tr>
        <w:tblPrEx>
          <w:tblCellMar>
            <w:top w:w="0" w:type="dxa"/>
            <w:left w:w="0" w:type="dxa"/>
            <w:bottom w:w="0" w:type="dxa"/>
            <w:right w:w="0" w:type="dxa"/>
          </w:tblCellMar>
        </w:tblPrEx>
        <w:trPr>
          <w:trHeight w:val="477" w:hRule="atLeast"/>
        </w:trPr>
        <w:tc>
          <w:tcPr>
            <w:tcW w:w="11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17</w:t>
            </w:r>
          </w:p>
        </w:tc>
        <w:tc>
          <w:tcPr>
            <w:tcW w:w="11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讯（询）问椅</w:t>
            </w:r>
          </w:p>
        </w:tc>
        <w:tc>
          <w:tcPr>
            <w:tcW w:w="780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功能：讯（询）问椅，阿基里斯皮，手部采用U型锁约束，胸部及腰部以约束带束缚；腿部以环形脚踏锁带手脚铐，控制嫌疑人。</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参数：尺寸：约700mm*720mm*700mm；</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20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张</w:t>
            </w:r>
          </w:p>
        </w:tc>
      </w:tr>
      <w:tr>
        <w:tblPrEx>
          <w:tblCellMar>
            <w:top w:w="0" w:type="dxa"/>
            <w:left w:w="0" w:type="dxa"/>
            <w:bottom w:w="0" w:type="dxa"/>
            <w:right w:w="0" w:type="dxa"/>
          </w:tblCellMar>
        </w:tblPrEx>
        <w:trPr>
          <w:trHeight w:val="477" w:hRule="atLeast"/>
        </w:trPr>
        <w:tc>
          <w:tcPr>
            <w:tcW w:w="11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18</w:t>
            </w:r>
          </w:p>
        </w:tc>
        <w:tc>
          <w:tcPr>
            <w:tcW w:w="11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温湿度显示屏</w:t>
            </w:r>
          </w:p>
        </w:tc>
        <w:tc>
          <w:tcPr>
            <w:tcW w:w="780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功能：通过网络时钟与摄像头相关联，实现对房间内时间、温度、湿度进行显示和断电后自动校对，保障执法对象权利。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参数：高精度时钟，年误差小于30s，性能稳定可靠静态显示，无噪音采集温、湿度数值和时间数据传送到计算机上，具有温湿度校准功能，尺寸为约600*400*50mm；支持485接口。</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20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个</w:t>
            </w:r>
          </w:p>
        </w:tc>
      </w:tr>
      <w:tr>
        <w:tblPrEx>
          <w:tblCellMar>
            <w:top w:w="0" w:type="dxa"/>
            <w:left w:w="0" w:type="dxa"/>
            <w:bottom w:w="0" w:type="dxa"/>
            <w:right w:w="0" w:type="dxa"/>
          </w:tblCellMar>
        </w:tblPrEx>
        <w:trPr>
          <w:trHeight w:val="268" w:hRule="atLeast"/>
        </w:trPr>
        <w:tc>
          <w:tcPr>
            <w:tcW w:w="11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19</w:t>
            </w:r>
          </w:p>
        </w:tc>
        <w:tc>
          <w:tcPr>
            <w:tcW w:w="11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LED显示屏</w:t>
            </w:r>
          </w:p>
        </w:tc>
        <w:tc>
          <w:tcPr>
            <w:tcW w:w="780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功能：通过与智能防拆电子腕带相关联，LED显示屏可以显示执法对象在办案区的状态。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参数：LED屏显：304*152，尺寸：约650*200*50mm；内扫描16扫，亚克力材质，双色显示。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20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个</w:t>
            </w:r>
          </w:p>
        </w:tc>
      </w:tr>
      <w:tr>
        <w:tblPrEx>
          <w:tblCellMar>
            <w:top w:w="0" w:type="dxa"/>
            <w:left w:w="0" w:type="dxa"/>
            <w:bottom w:w="0" w:type="dxa"/>
            <w:right w:w="0" w:type="dxa"/>
          </w:tblCellMar>
        </w:tblPrEx>
        <w:trPr>
          <w:trHeight w:val="268" w:hRule="atLeast"/>
        </w:trPr>
        <w:tc>
          <w:tcPr>
            <w:tcW w:w="11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w:t>
            </w:r>
          </w:p>
        </w:tc>
        <w:tc>
          <w:tcPr>
            <w:tcW w:w="11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窗口对讲机</w:t>
            </w:r>
          </w:p>
        </w:tc>
        <w:tc>
          <w:tcPr>
            <w:tcW w:w="780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功能：通过对讲设备使民警与执法对象的对话能够在玻璃隔断后清晰进行。                                         参数：最大通话距离:：1.5km以下(含1.5km)；材质：全铝合金箱体；</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20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个</w:t>
            </w:r>
          </w:p>
        </w:tc>
      </w:tr>
      <w:tr>
        <w:tblPrEx>
          <w:tblCellMar>
            <w:top w:w="0" w:type="dxa"/>
            <w:left w:w="0" w:type="dxa"/>
            <w:bottom w:w="0" w:type="dxa"/>
            <w:right w:w="0" w:type="dxa"/>
          </w:tblCellMar>
        </w:tblPrEx>
        <w:trPr>
          <w:trHeight w:val="268" w:hRule="atLeast"/>
        </w:trPr>
        <w:tc>
          <w:tcPr>
            <w:tcW w:w="11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21</w:t>
            </w:r>
          </w:p>
        </w:tc>
        <w:tc>
          <w:tcPr>
            <w:tcW w:w="11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耳机</w:t>
            </w:r>
          </w:p>
        </w:tc>
        <w:tc>
          <w:tcPr>
            <w:tcW w:w="780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插头直径：3.5mm，缆线长度：约1.2m，带麦克风，耳机插头类型：L弯型。耳机类型：有线。灵敏度：98dB/mW频响范围：20-20000H阻抗：16Ω颜色分类：新款黑色</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20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个</w:t>
            </w:r>
          </w:p>
        </w:tc>
      </w:tr>
      <w:tr>
        <w:tblPrEx>
          <w:tblCellMar>
            <w:top w:w="0" w:type="dxa"/>
            <w:left w:w="0" w:type="dxa"/>
            <w:bottom w:w="0" w:type="dxa"/>
            <w:right w:w="0" w:type="dxa"/>
          </w:tblCellMar>
        </w:tblPrEx>
        <w:trPr>
          <w:trHeight w:val="268" w:hRule="atLeast"/>
        </w:trPr>
        <w:tc>
          <w:tcPr>
            <w:tcW w:w="2394" w:type="dxa"/>
            <w:gridSpan w:val="4"/>
            <w:tcBorders>
              <w:top w:val="single" w:color="000000" w:sz="4" w:space="0"/>
              <w:left w:val="single" w:color="000000" w:sz="4" w:space="0"/>
              <w:bottom w:val="single" w:color="000000" w:sz="4" w:space="0"/>
              <w:right w:val="single" w:color="000000" w:sz="4" w:space="0"/>
            </w:tcBorders>
            <w:shd w:val="clear" w:color="auto" w:fill="FFFF00"/>
            <w:noWrap w:val="0"/>
            <w:tcMar>
              <w:top w:w="15" w:type="dxa"/>
              <w:left w:w="15" w:type="dxa"/>
              <w:right w:w="15" w:type="dxa"/>
            </w:tcMar>
            <w:vAlign w:val="center"/>
          </w:tcPr>
          <w:p>
            <w:pPr>
              <w:widowControl/>
              <w:jc w:val="left"/>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询问室</w:t>
            </w:r>
          </w:p>
        </w:tc>
        <w:tc>
          <w:tcPr>
            <w:tcW w:w="7806" w:type="dxa"/>
            <w:gridSpan w:val="2"/>
            <w:tcBorders>
              <w:top w:val="single" w:color="000000" w:sz="4" w:space="0"/>
              <w:left w:val="single" w:color="000000" w:sz="4" w:space="0"/>
              <w:bottom w:val="single" w:color="000000" w:sz="4" w:space="0"/>
              <w:right w:val="single" w:color="000000" w:sz="4" w:space="0"/>
            </w:tcBorders>
            <w:shd w:val="clear" w:color="auto" w:fill="FFFF00"/>
            <w:noWrap w:val="0"/>
            <w:tcMar>
              <w:top w:w="15" w:type="dxa"/>
              <w:left w:w="15" w:type="dxa"/>
              <w:right w:w="15" w:type="dxa"/>
            </w:tcMar>
            <w:vAlign w:val="center"/>
          </w:tcPr>
          <w:p>
            <w:pPr>
              <w:jc w:val="center"/>
              <w:rPr>
                <w:rFonts w:hint="eastAsia" w:ascii="宋体" w:hAnsi="宋体" w:cs="宋体"/>
                <w:color w:val="000000"/>
                <w:sz w:val="18"/>
                <w:szCs w:val="18"/>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00"/>
            <w:noWrap w:val="0"/>
            <w:tcMar>
              <w:top w:w="15" w:type="dxa"/>
              <w:left w:w="15" w:type="dxa"/>
              <w:right w:w="15" w:type="dxa"/>
            </w:tcMar>
            <w:vAlign w:val="center"/>
          </w:tcPr>
          <w:p>
            <w:pPr>
              <w:jc w:val="center"/>
              <w:rPr>
                <w:rFonts w:hint="eastAsia" w:ascii="宋体" w:hAnsi="宋体" w:cs="宋体"/>
                <w:color w:val="000000"/>
                <w:sz w:val="20"/>
                <w:szCs w:val="20"/>
              </w:rPr>
            </w:pPr>
          </w:p>
        </w:tc>
        <w:tc>
          <w:tcPr>
            <w:tcW w:w="2095" w:type="dxa"/>
            <w:tcBorders>
              <w:top w:val="single" w:color="000000" w:sz="4" w:space="0"/>
              <w:left w:val="single" w:color="000000" w:sz="4" w:space="0"/>
              <w:bottom w:val="single" w:color="000000" w:sz="4" w:space="0"/>
              <w:right w:val="single" w:color="000000" w:sz="4" w:space="0"/>
            </w:tcBorders>
            <w:shd w:val="clear" w:color="auto" w:fill="FFFF00"/>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47" w:hRule="atLeast"/>
        </w:trPr>
        <w:tc>
          <w:tcPr>
            <w:tcW w:w="11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22</w:t>
            </w:r>
          </w:p>
        </w:tc>
        <w:tc>
          <w:tcPr>
            <w:tcW w:w="119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一体化数字签名屏</w:t>
            </w:r>
          </w:p>
        </w:tc>
        <w:tc>
          <w:tcPr>
            <w:tcW w:w="780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功能：通过设备对接执法办案系统笔录文书，实现签名捺印写入文书。</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参数：驱动支持： Windows98，Me，NT4.0，2000，XP；</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支持电子签名、指纹识别</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供电电压 ：5.0V +/-.25V USB提供；</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接口连接线：定制mini USB线；功耗 ：最高1.0W；</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分辨率：不小于1280*800分辨率24位真彩色</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像素点距：0.30(水平)*0.30（垂直）mm。</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触控：支持多点触控</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屏幕尺寸：不小于10.1inch</w:t>
            </w:r>
          </w:p>
        </w:tc>
        <w:tc>
          <w:tcPr>
            <w:tcW w:w="12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2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个</w:t>
            </w:r>
          </w:p>
        </w:tc>
      </w:tr>
      <w:tr>
        <w:tblPrEx>
          <w:tblCellMar>
            <w:top w:w="0" w:type="dxa"/>
            <w:left w:w="0" w:type="dxa"/>
            <w:bottom w:w="0" w:type="dxa"/>
            <w:right w:w="0" w:type="dxa"/>
          </w:tblCellMar>
        </w:tblPrEx>
        <w:trPr>
          <w:trHeight w:val="447" w:hRule="atLeast"/>
        </w:trPr>
        <w:tc>
          <w:tcPr>
            <w:tcW w:w="11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23</w:t>
            </w:r>
          </w:p>
        </w:tc>
        <w:tc>
          <w:tcPr>
            <w:tcW w:w="119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讯（询）问桌</w:t>
            </w:r>
          </w:p>
        </w:tc>
        <w:tc>
          <w:tcPr>
            <w:tcW w:w="780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功能：定制三联询讯问桌。</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参数：约1600mm*900mm*740mm，集成品牌电脑、不小于500G硬盘、不小于4G内存、打印机最高分辨率：不小于1200×1200dpi ；黑白打印速度：不小于18ppm ；处理器：不小于266MHz ；内存：标配：不小于2MB、电话：振铃个性化,音调,音量可调 号码存储；10组电话簿 ,50组来电信息 显示；双制式来电显示,日期,时钟显示,通话时间显示 ； 音频采样率：16K～48KHz  音频模式：16位立体声CD音质；输出频率：20Hz～20KHz  谐波失真：&lt; 0.5%；信噪比：&gt; 70dB  音频码流：16Kb～192Kb；内置扬声器阻抗功率：8Ω，2W  MIC 输入灵敏度：10mV； 广播音频格式：MP3、WAV ；视频码流：96Kb～512Kb  总线音频输入电平(峰峰值)：≤4V；联动接口：RS-485  工作温度：-20℃ ～ +80℃；工作湿度：10% ～ 90%  ；</w:t>
            </w:r>
          </w:p>
        </w:tc>
        <w:tc>
          <w:tcPr>
            <w:tcW w:w="12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2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个</w:t>
            </w:r>
          </w:p>
        </w:tc>
      </w:tr>
      <w:tr>
        <w:tblPrEx>
          <w:tblCellMar>
            <w:top w:w="0" w:type="dxa"/>
            <w:left w:w="0" w:type="dxa"/>
            <w:bottom w:w="0" w:type="dxa"/>
            <w:right w:w="0" w:type="dxa"/>
          </w:tblCellMar>
        </w:tblPrEx>
        <w:trPr>
          <w:trHeight w:val="477" w:hRule="atLeast"/>
        </w:trPr>
        <w:tc>
          <w:tcPr>
            <w:tcW w:w="11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24</w:t>
            </w:r>
          </w:p>
        </w:tc>
        <w:tc>
          <w:tcPr>
            <w:tcW w:w="11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温湿度显示屏</w:t>
            </w:r>
          </w:p>
        </w:tc>
        <w:tc>
          <w:tcPr>
            <w:tcW w:w="780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功能：通过网络时钟与摄像头相关联，实现对房间内时间、温度、湿度进行显示和断电后自动校对，保障执法对象权利。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参数：高精度时钟，年误差小于30s，性能稳定可靠静态显示，无噪音采集温、湿度数值和时间数据传送到计算机上，具有温湿度校准功能，尺寸为约600*400*50mm；支持485接口。</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20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个</w:t>
            </w:r>
          </w:p>
        </w:tc>
      </w:tr>
      <w:tr>
        <w:tblPrEx>
          <w:tblCellMar>
            <w:top w:w="0" w:type="dxa"/>
            <w:left w:w="0" w:type="dxa"/>
            <w:bottom w:w="0" w:type="dxa"/>
            <w:right w:w="0" w:type="dxa"/>
          </w:tblCellMar>
        </w:tblPrEx>
        <w:trPr>
          <w:trHeight w:val="268" w:hRule="atLeast"/>
        </w:trPr>
        <w:tc>
          <w:tcPr>
            <w:tcW w:w="2394" w:type="dxa"/>
            <w:gridSpan w:val="4"/>
            <w:tcBorders>
              <w:top w:val="single" w:color="000000" w:sz="4" w:space="0"/>
              <w:left w:val="single" w:color="000000" w:sz="4" w:space="0"/>
              <w:bottom w:val="single" w:color="000000" w:sz="4" w:space="0"/>
              <w:right w:val="single" w:color="000000" w:sz="4" w:space="0"/>
            </w:tcBorders>
            <w:shd w:val="clear" w:color="auto" w:fill="FFFF00"/>
            <w:noWrap w:val="0"/>
            <w:tcMar>
              <w:top w:w="15" w:type="dxa"/>
              <w:left w:w="15" w:type="dxa"/>
              <w:right w:w="15" w:type="dxa"/>
            </w:tcMar>
            <w:vAlign w:val="center"/>
          </w:tcPr>
          <w:p>
            <w:pPr>
              <w:widowControl/>
              <w:jc w:val="left"/>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等候室</w:t>
            </w:r>
          </w:p>
        </w:tc>
        <w:tc>
          <w:tcPr>
            <w:tcW w:w="7806" w:type="dxa"/>
            <w:gridSpan w:val="2"/>
            <w:tcBorders>
              <w:top w:val="single" w:color="000000" w:sz="4" w:space="0"/>
              <w:left w:val="single" w:color="000000" w:sz="4" w:space="0"/>
              <w:bottom w:val="single" w:color="000000" w:sz="4" w:space="0"/>
              <w:right w:val="single" w:color="000000" w:sz="4" w:space="0"/>
            </w:tcBorders>
            <w:shd w:val="clear" w:color="auto" w:fill="FFFF00"/>
            <w:noWrap w:val="0"/>
            <w:tcMar>
              <w:top w:w="15" w:type="dxa"/>
              <w:left w:w="15" w:type="dxa"/>
              <w:right w:w="15" w:type="dxa"/>
            </w:tcMar>
            <w:vAlign w:val="center"/>
          </w:tcPr>
          <w:p>
            <w:pPr>
              <w:jc w:val="center"/>
              <w:rPr>
                <w:rFonts w:hint="eastAsia" w:ascii="宋体" w:hAnsi="宋体" w:cs="宋体"/>
                <w:color w:val="000000"/>
                <w:sz w:val="18"/>
                <w:szCs w:val="18"/>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00"/>
            <w:noWrap w:val="0"/>
            <w:tcMar>
              <w:top w:w="15" w:type="dxa"/>
              <w:left w:w="15" w:type="dxa"/>
              <w:right w:w="15" w:type="dxa"/>
            </w:tcMar>
            <w:vAlign w:val="center"/>
          </w:tcPr>
          <w:p>
            <w:pPr>
              <w:jc w:val="center"/>
              <w:rPr>
                <w:rFonts w:hint="eastAsia" w:ascii="宋体" w:hAnsi="宋体" w:cs="宋体"/>
                <w:color w:val="000000"/>
                <w:sz w:val="16"/>
                <w:szCs w:val="16"/>
              </w:rPr>
            </w:pPr>
          </w:p>
        </w:tc>
        <w:tc>
          <w:tcPr>
            <w:tcW w:w="2095" w:type="dxa"/>
            <w:tcBorders>
              <w:top w:val="single" w:color="000000" w:sz="4" w:space="0"/>
              <w:left w:val="single" w:color="000000" w:sz="4" w:space="0"/>
              <w:bottom w:val="single" w:color="000000" w:sz="4" w:space="0"/>
              <w:right w:val="single" w:color="000000" w:sz="4" w:space="0"/>
            </w:tcBorders>
            <w:shd w:val="clear" w:color="auto" w:fill="FFFF00"/>
            <w:noWrap w:val="0"/>
            <w:tcMar>
              <w:top w:w="15" w:type="dxa"/>
              <w:left w:w="15" w:type="dxa"/>
              <w:right w:w="15" w:type="dxa"/>
            </w:tcMar>
            <w:vAlign w:val="center"/>
          </w:tcPr>
          <w:p>
            <w:pPr>
              <w:jc w:val="center"/>
              <w:rPr>
                <w:rFonts w:hint="eastAsia" w:ascii="宋体" w:hAnsi="宋体" w:cs="宋体"/>
                <w:color w:val="000000"/>
                <w:sz w:val="16"/>
                <w:szCs w:val="16"/>
              </w:rPr>
            </w:pPr>
          </w:p>
        </w:tc>
      </w:tr>
      <w:tr>
        <w:tblPrEx>
          <w:tblCellMar>
            <w:top w:w="0" w:type="dxa"/>
            <w:left w:w="0" w:type="dxa"/>
            <w:bottom w:w="0" w:type="dxa"/>
            <w:right w:w="0" w:type="dxa"/>
          </w:tblCellMar>
        </w:tblPrEx>
        <w:trPr>
          <w:trHeight w:val="268" w:hRule="atLeast"/>
        </w:trPr>
        <w:tc>
          <w:tcPr>
            <w:tcW w:w="1197"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25</w:t>
            </w:r>
          </w:p>
        </w:tc>
        <w:tc>
          <w:tcPr>
            <w:tcW w:w="11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成品坐凳</w:t>
            </w:r>
          </w:p>
        </w:tc>
        <w:tc>
          <w:tcPr>
            <w:tcW w:w="780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功能：钣金坐凳，2人位，不带侧板。</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参数：材质：2.0冷轧钢板，2人座位尺寸：约420mm高*800mm长*420mm宽；</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14</w:t>
            </w:r>
          </w:p>
        </w:tc>
        <w:tc>
          <w:tcPr>
            <w:tcW w:w="20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张</w:t>
            </w:r>
          </w:p>
        </w:tc>
      </w:tr>
      <w:tr>
        <w:tblPrEx>
          <w:tblCellMar>
            <w:top w:w="0" w:type="dxa"/>
            <w:left w:w="0" w:type="dxa"/>
            <w:bottom w:w="0" w:type="dxa"/>
            <w:right w:w="0" w:type="dxa"/>
          </w:tblCellMar>
        </w:tblPrEx>
        <w:trPr>
          <w:trHeight w:val="268" w:hRule="atLeast"/>
        </w:trPr>
        <w:tc>
          <w:tcPr>
            <w:tcW w:w="1197"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1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成品坐凳</w:t>
            </w:r>
          </w:p>
        </w:tc>
        <w:tc>
          <w:tcPr>
            <w:tcW w:w="780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功能：钣金坐凳，2人位，带侧板。</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参数：材质：2.0冷轧钢板，2人座位尺寸：约420mm高*800mm长*420mm宽；侧板材质：20mm黑胡桃木，侧板方向：一左一右(两块)；</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9</w:t>
            </w:r>
          </w:p>
        </w:tc>
        <w:tc>
          <w:tcPr>
            <w:tcW w:w="20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张</w:t>
            </w:r>
          </w:p>
        </w:tc>
      </w:tr>
      <w:tr>
        <w:tblPrEx>
          <w:tblCellMar>
            <w:top w:w="0" w:type="dxa"/>
            <w:left w:w="0" w:type="dxa"/>
            <w:bottom w:w="0" w:type="dxa"/>
            <w:right w:w="0" w:type="dxa"/>
          </w:tblCellMar>
        </w:tblPrEx>
        <w:trPr>
          <w:trHeight w:val="268" w:hRule="atLeast"/>
        </w:trPr>
        <w:tc>
          <w:tcPr>
            <w:tcW w:w="1197"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1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成品坐凳</w:t>
            </w:r>
          </w:p>
        </w:tc>
        <w:tc>
          <w:tcPr>
            <w:tcW w:w="780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功能：钣金坐凳，1人位，不带侧板。</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参数：材质：2.0冷轧钢板，1人座位尺寸：约420mm高*400mm长*420mm宽；</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20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张</w:t>
            </w:r>
          </w:p>
        </w:tc>
      </w:tr>
      <w:tr>
        <w:tblPrEx>
          <w:tblCellMar>
            <w:top w:w="0" w:type="dxa"/>
            <w:left w:w="0" w:type="dxa"/>
            <w:bottom w:w="0" w:type="dxa"/>
            <w:right w:w="0" w:type="dxa"/>
          </w:tblCellMar>
        </w:tblPrEx>
        <w:trPr>
          <w:trHeight w:val="268" w:hRule="atLeast"/>
        </w:trPr>
        <w:tc>
          <w:tcPr>
            <w:tcW w:w="1197"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1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成品坐凳</w:t>
            </w:r>
          </w:p>
        </w:tc>
        <w:tc>
          <w:tcPr>
            <w:tcW w:w="780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功能：钣金坐凳,转角位。</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参数：材质：2.0冷轧钢板，钣金坐凳转角尺寸：约420mm高*500mm长*500mm宽。</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c>
          <w:tcPr>
            <w:tcW w:w="20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张</w:t>
            </w:r>
          </w:p>
        </w:tc>
      </w:tr>
      <w:tr>
        <w:tblPrEx>
          <w:tblCellMar>
            <w:top w:w="0" w:type="dxa"/>
            <w:left w:w="0" w:type="dxa"/>
            <w:bottom w:w="0" w:type="dxa"/>
            <w:right w:w="0" w:type="dxa"/>
          </w:tblCellMar>
        </w:tblPrEx>
        <w:trPr>
          <w:trHeight w:val="268" w:hRule="atLeast"/>
        </w:trPr>
        <w:tc>
          <w:tcPr>
            <w:tcW w:w="2394" w:type="dxa"/>
            <w:gridSpan w:val="4"/>
            <w:tcBorders>
              <w:top w:val="single" w:color="000000" w:sz="4" w:space="0"/>
              <w:left w:val="single" w:color="000000" w:sz="4" w:space="0"/>
              <w:bottom w:val="single" w:color="000000" w:sz="4" w:space="0"/>
              <w:right w:val="single" w:color="000000" w:sz="4" w:space="0"/>
            </w:tcBorders>
            <w:shd w:val="clear" w:color="auto" w:fill="FFFF00"/>
            <w:noWrap w:val="0"/>
            <w:tcMar>
              <w:top w:w="15" w:type="dxa"/>
              <w:left w:w="15" w:type="dxa"/>
              <w:right w:w="15" w:type="dxa"/>
            </w:tcMar>
            <w:vAlign w:val="center"/>
          </w:tcPr>
          <w:p>
            <w:pPr>
              <w:widowControl/>
              <w:jc w:val="left"/>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看管区</w:t>
            </w:r>
          </w:p>
        </w:tc>
        <w:tc>
          <w:tcPr>
            <w:tcW w:w="7806" w:type="dxa"/>
            <w:gridSpan w:val="2"/>
            <w:tcBorders>
              <w:top w:val="single" w:color="000000" w:sz="4" w:space="0"/>
              <w:left w:val="single" w:color="000000" w:sz="4" w:space="0"/>
              <w:bottom w:val="single" w:color="000000" w:sz="4" w:space="0"/>
              <w:right w:val="single" w:color="000000" w:sz="4" w:space="0"/>
            </w:tcBorders>
            <w:shd w:val="clear" w:color="auto" w:fill="FFFF00"/>
            <w:noWrap w:val="0"/>
            <w:tcMar>
              <w:top w:w="15" w:type="dxa"/>
              <w:left w:w="15" w:type="dxa"/>
              <w:right w:w="15" w:type="dxa"/>
            </w:tcMar>
            <w:vAlign w:val="center"/>
          </w:tcPr>
          <w:p>
            <w:pPr>
              <w:jc w:val="center"/>
              <w:rPr>
                <w:rFonts w:hint="eastAsia" w:ascii="宋体" w:hAnsi="宋体" w:cs="宋体"/>
                <w:color w:val="000000"/>
                <w:sz w:val="18"/>
                <w:szCs w:val="18"/>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00"/>
            <w:noWrap w:val="0"/>
            <w:tcMar>
              <w:top w:w="15" w:type="dxa"/>
              <w:left w:w="15" w:type="dxa"/>
              <w:right w:w="15" w:type="dxa"/>
            </w:tcMar>
            <w:vAlign w:val="center"/>
          </w:tcPr>
          <w:p>
            <w:pPr>
              <w:jc w:val="center"/>
              <w:rPr>
                <w:rFonts w:hint="eastAsia" w:ascii="宋体" w:hAnsi="宋体" w:cs="宋体"/>
                <w:color w:val="000000"/>
                <w:sz w:val="20"/>
                <w:szCs w:val="20"/>
              </w:rPr>
            </w:pPr>
          </w:p>
        </w:tc>
        <w:tc>
          <w:tcPr>
            <w:tcW w:w="2095" w:type="dxa"/>
            <w:tcBorders>
              <w:top w:val="single" w:color="000000" w:sz="4" w:space="0"/>
              <w:left w:val="single" w:color="000000" w:sz="4" w:space="0"/>
              <w:bottom w:val="single" w:color="000000" w:sz="4" w:space="0"/>
              <w:right w:val="single" w:color="000000" w:sz="4" w:space="0"/>
            </w:tcBorders>
            <w:shd w:val="clear" w:color="auto" w:fill="FFFF00"/>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77" w:hRule="atLeast"/>
        </w:trPr>
        <w:tc>
          <w:tcPr>
            <w:tcW w:w="11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26</w:t>
            </w:r>
          </w:p>
        </w:tc>
        <w:tc>
          <w:tcPr>
            <w:tcW w:w="11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IP网络可视对讲主机</w:t>
            </w:r>
          </w:p>
        </w:tc>
        <w:tc>
          <w:tcPr>
            <w:tcW w:w="780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采用10.2寸触摸屏，1080P高清摄像头。·高清视频：可全屏显示高清视频画面，并提供网络视频数据，上大屏显示。·广播播放：可用MP3文件对所有分机进行全区、分区、定时广播、消防广播；支持喊话广播、外接音源广播。·监听、监视：可循环监听、监视或单个监听、监视分机。·报警联动：分机报警时，通过TCP连接与其它平台联动。如：开启监控摄像头。·语音播报：可语音播报呼叫的分机备注信息或分机号。·录音录像：可对通话过程录音录像，并能查询播放、储存、上传至服务器2寸数字真彩显示屏，电容式。   </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20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个</w:t>
            </w:r>
          </w:p>
        </w:tc>
      </w:tr>
      <w:tr>
        <w:tblPrEx>
          <w:tblCellMar>
            <w:top w:w="0" w:type="dxa"/>
            <w:left w:w="0" w:type="dxa"/>
            <w:bottom w:w="0" w:type="dxa"/>
            <w:right w:w="0" w:type="dxa"/>
          </w:tblCellMar>
        </w:tblPrEx>
        <w:trPr>
          <w:trHeight w:val="477" w:hRule="atLeast"/>
        </w:trPr>
        <w:tc>
          <w:tcPr>
            <w:tcW w:w="11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27</w:t>
            </w:r>
          </w:p>
        </w:tc>
        <w:tc>
          <w:tcPr>
            <w:tcW w:w="11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IP网络拨号式高级主机</w:t>
            </w:r>
          </w:p>
        </w:tc>
        <w:tc>
          <w:tcPr>
            <w:tcW w:w="780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尺寸：约210x330x118mm(LxWxH),工作温度：-20℃ ～ +80℃,输入电源：DC14V;工作湿度：10% ～ 90%;显示屏分辨率：不小于1280x800像素;摄像头：不小于500万像素;对外接口：RS-485接口</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20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个</w:t>
            </w:r>
          </w:p>
        </w:tc>
      </w:tr>
      <w:tr>
        <w:tblPrEx>
          <w:tblCellMar>
            <w:top w:w="0" w:type="dxa"/>
            <w:left w:w="0" w:type="dxa"/>
            <w:bottom w:w="0" w:type="dxa"/>
            <w:right w:w="0" w:type="dxa"/>
          </w:tblCellMar>
        </w:tblPrEx>
        <w:trPr>
          <w:trHeight w:val="477" w:hRule="atLeast"/>
        </w:trPr>
        <w:tc>
          <w:tcPr>
            <w:tcW w:w="11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28</w:t>
            </w:r>
          </w:p>
        </w:tc>
        <w:tc>
          <w:tcPr>
            <w:tcW w:w="11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IP网络地址盒</w:t>
            </w:r>
          </w:p>
        </w:tc>
        <w:tc>
          <w:tcPr>
            <w:tcW w:w="780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尺寸：约195x125x43mm(LxWxH);工作温度：-20℃ ～ +80℃;功耗：&lt; 2W;网络接口：标准RJ45接口;输入电源：DC12V～18V;网络协议:TCP/IP、UDP、IGMP、RTP;</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20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个</w:t>
            </w:r>
          </w:p>
        </w:tc>
      </w:tr>
      <w:tr>
        <w:tblPrEx>
          <w:tblCellMar>
            <w:top w:w="0" w:type="dxa"/>
            <w:left w:w="0" w:type="dxa"/>
            <w:bottom w:w="0" w:type="dxa"/>
            <w:right w:w="0" w:type="dxa"/>
          </w:tblCellMar>
        </w:tblPrEx>
        <w:trPr>
          <w:trHeight w:val="268" w:hRule="atLeast"/>
        </w:trPr>
        <w:tc>
          <w:tcPr>
            <w:tcW w:w="11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29</w:t>
            </w:r>
          </w:p>
        </w:tc>
        <w:tc>
          <w:tcPr>
            <w:tcW w:w="11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智能巡更器</w:t>
            </w:r>
          </w:p>
        </w:tc>
        <w:tc>
          <w:tcPr>
            <w:tcW w:w="780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功能：办案区巡更设备，巡更人员到达指定巡更点进行打卡确认巡更信息。</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参数：巡更卡：</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识别距离 ： 0～ 150米可调，识别速度 ： 200公里 / 小时，识别能力 ： 具备200张/秒的防冲突性能，识别方式 ： 全向识别，固定增益 ： 0～3级可按需选定，工作频段 ： 2.45GHz、125KHz、13.56MHz可选，通讯速率 ： 250Kb/s、1Mb/s、2Mb/s，通信机制 ： 基于 HDLC 时分多址和同步通信机制，抗干扰性 ： 频道隔离技术，多个设备互不干扰，安 全 性 ： 加密计算与安全认证，防止链路侦测，读写功能 ： 176B存储空间（可选），防拆功能 ： 防拆报警功能（可选），测温功能：测温精度±0.4°（可选），功耗标准 ： 平均工作功率为微瓦级，电池配置 ： 扣式锂锰电池，容量500mAh，使用寿命： 1～3年左右，可更换电池， 环境特性 ： 工作温度－40℃ ～85℃，工作湿度＜95％，可 靠 性 ： 防冲击，满足工业环境要求，尺寸 ： 约86×54×6 mm，重量 ： 约24g</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高精度定位基站：                                                                                                      工作频段 ：2401MHz~2481MHz，工作带宽 ：1MHz，发射功率 ：最大+6dBm，定位精度 ：0.2m~1m，定位延迟 ：小于100ms，通信机制 ：RFID私有协议，BLE，电源标准 ：PoE 48V，典型功耗 ：2W，工作温度 ：-10℃~60℃，存储温度 ：-20℃~70℃，连接方式：以太网，安装方式 ：吸顶安装，抗干扰能力 ：强，抗多径能力 ：强，定位信息更新速率：1Hz~5Hz，接收能力 ：每秒接收400个定位信息，使用数量 ：1台实现2D定位；</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一体化定位基站：                                                                                                                               识别距离： 最远可达150米(空旷距离测试），识别速度： 120Km/h，识别能力： 同时识别200张以上的标签，识别角度： 全向，工作频段： 2.4GHz、125KHz，通信机制： 基于HDLC 时分多址和同步通信机制，抗干扰性： 频道隔离技术，多个设备互不干扰，安 全 性： 加密计算与安全认证，防止链路侦测，接口标准： RS485，RJ45，扩展 I/O： 外部预留IO口输出可接报警器等模块，可 靠 性： 防水等级IP67，满足工业级应用要求，2.4G模块扩展： 最大支持4路（按需定制，可内置1路，外部可选R931），125K天线扩展： 最大支持4路（按需定制），网络在线升级： 支持RJ45端口在线升级程序，2.4G发射功率： 4dBm(可加功放扩大到20dBm)，2.4G天线增益：2.5dB，输入电压范围：  DC12-24V，2.4G接收灵敏度：-96 dBm @ 250 kbps，功耗：&lt;2W （DC15V输入 &lt;100mA），重量：约258g，尺寸： 约直径160mm,高100mm，封装特性 ： ABS工程塑料封装，防水等级： IP67，重量：约720g，尺寸 ：约240*240*40mm，安装方式 ：吊顶或墙面安装</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20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个</w:t>
            </w:r>
          </w:p>
        </w:tc>
      </w:tr>
      <w:tr>
        <w:tblPrEx>
          <w:tblCellMar>
            <w:top w:w="0" w:type="dxa"/>
            <w:left w:w="0" w:type="dxa"/>
            <w:bottom w:w="0" w:type="dxa"/>
            <w:right w:w="0" w:type="dxa"/>
          </w:tblCellMar>
        </w:tblPrEx>
        <w:trPr>
          <w:trHeight w:val="477" w:hRule="atLeast"/>
        </w:trPr>
        <w:tc>
          <w:tcPr>
            <w:tcW w:w="11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w:t>
            </w:r>
          </w:p>
        </w:tc>
        <w:tc>
          <w:tcPr>
            <w:tcW w:w="11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RUK网络读卡器</w:t>
            </w:r>
          </w:p>
        </w:tc>
        <w:tc>
          <w:tcPr>
            <w:tcW w:w="780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外形尺寸(长×宽×高）：约14cm×10cm×3cm。12V直流供电，最大工作负载电流&lt;0.08A，支持点对点通讯线最大长度在50m~80m之间（受双绞线质量和外围干扰）。感应离距离在0~10cm。</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20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个</w:t>
            </w:r>
          </w:p>
        </w:tc>
      </w:tr>
      <w:tr>
        <w:tblPrEx>
          <w:tblCellMar>
            <w:top w:w="0" w:type="dxa"/>
            <w:left w:w="0" w:type="dxa"/>
            <w:bottom w:w="0" w:type="dxa"/>
            <w:right w:w="0" w:type="dxa"/>
          </w:tblCellMar>
        </w:tblPrEx>
        <w:trPr>
          <w:trHeight w:val="268" w:hRule="atLeast"/>
        </w:trPr>
        <w:tc>
          <w:tcPr>
            <w:tcW w:w="11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w:t>
            </w:r>
          </w:p>
        </w:tc>
        <w:tc>
          <w:tcPr>
            <w:tcW w:w="11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集成看管台</w:t>
            </w:r>
          </w:p>
        </w:tc>
        <w:tc>
          <w:tcPr>
            <w:tcW w:w="780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功能：钣金定制集成看守台，可集成报警主机、网络读卡设备、亲情电话，可通过通过手环自动分配讯询问室，可拨打亲情电话，可与审讯进行通讯。</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参数：尺寸：约1640mm*750mm*760mm，材质：不小于2.0mm冷轧钢板、钣金定制、黑胡桃木侧板，集成亲情电话：外壳高强度不锈钢304材料，表面拉丝处理，耐磨抗腐蚀性强，通话时语音清晰，声音洪亮，无回授啸叫，具有防尘，抗噪，抗暴力特性，整机防护等级达IP54，无手柄设计直接免提通话。预留报警主机、网络读卡器2个嵌入孔。</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20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张</w:t>
            </w:r>
          </w:p>
        </w:tc>
      </w:tr>
      <w:tr>
        <w:tblPrEx>
          <w:tblCellMar>
            <w:top w:w="0" w:type="dxa"/>
            <w:left w:w="0" w:type="dxa"/>
            <w:bottom w:w="0" w:type="dxa"/>
            <w:right w:w="0" w:type="dxa"/>
          </w:tblCellMar>
        </w:tblPrEx>
        <w:trPr>
          <w:trHeight w:val="268" w:hRule="atLeast"/>
        </w:trPr>
        <w:tc>
          <w:tcPr>
            <w:tcW w:w="11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32</w:t>
            </w:r>
          </w:p>
        </w:tc>
        <w:tc>
          <w:tcPr>
            <w:tcW w:w="11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电脑</w:t>
            </w:r>
          </w:p>
        </w:tc>
        <w:tc>
          <w:tcPr>
            <w:tcW w:w="780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不小于I5处理器，不小于8G内存，不小于1T硬盘</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20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台</w:t>
            </w:r>
          </w:p>
        </w:tc>
      </w:tr>
      <w:tr>
        <w:tblPrEx>
          <w:tblCellMar>
            <w:top w:w="0" w:type="dxa"/>
            <w:left w:w="0" w:type="dxa"/>
            <w:bottom w:w="0" w:type="dxa"/>
            <w:right w:w="0" w:type="dxa"/>
          </w:tblCellMar>
        </w:tblPrEx>
        <w:trPr>
          <w:trHeight w:val="268" w:hRule="atLeast"/>
        </w:trPr>
        <w:tc>
          <w:tcPr>
            <w:tcW w:w="11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33</w:t>
            </w:r>
          </w:p>
        </w:tc>
        <w:tc>
          <w:tcPr>
            <w:tcW w:w="11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显示器</w:t>
            </w:r>
          </w:p>
        </w:tc>
        <w:tc>
          <w:tcPr>
            <w:tcW w:w="780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产品类型：LED显示器，广视角显示器，护眼显示器，屏幕尺寸不小于19.5英寸，最佳分辨率不小于1440×900，屏幕比例16:9(宽屏)，高清标准不小于720p(高清)，面板类型IPS </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20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台</w:t>
            </w:r>
          </w:p>
        </w:tc>
      </w:tr>
      <w:tr>
        <w:tblPrEx>
          <w:tblCellMar>
            <w:top w:w="0" w:type="dxa"/>
            <w:left w:w="0" w:type="dxa"/>
            <w:bottom w:w="0" w:type="dxa"/>
            <w:right w:w="0" w:type="dxa"/>
          </w:tblCellMar>
        </w:tblPrEx>
        <w:trPr>
          <w:trHeight w:val="268" w:hRule="atLeast"/>
        </w:trPr>
        <w:tc>
          <w:tcPr>
            <w:tcW w:w="11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34</w:t>
            </w:r>
          </w:p>
        </w:tc>
        <w:tc>
          <w:tcPr>
            <w:tcW w:w="11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LED显示屏</w:t>
            </w:r>
          </w:p>
        </w:tc>
        <w:tc>
          <w:tcPr>
            <w:tcW w:w="780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功能：通过与智能防拆电子腕带相关联，LED显示屏可以显示执法对象在办案区的状态。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参数：LED屏显：304*152，尺寸：约650*200*50mm；内扫描16扫，亚克力材质，双色显示。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8</w:t>
            </w:r>
          </w:p>
        </w:tc>
        <w:tc>
          <w:tcPr>
            <w:tcW w:w="20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张</w:t>
            </w:r>
          </w:p>
        </w:tc>
      </w:tr>
      <w:tr>
        <w:tblPrEx>
          <w:tblCellMar>
            <w:top w:w="0" w:type="dxa"/>
            <w:left w:w="0" w:type="dxa"/>
            <w:bottom w:w="0" w:type="dxa"/>
            <w:right w:w="0" w:type="dxa"/>
          </w:tblCellMar>
        </w:tblPrEx>
        <w:trPr>
          <w:trHeight w:val="268" w:hRule="atLeast"/>
        </w:trPr>
        <w:tc>
          <w:tcPr>
            <w:tcW w:w="11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35</w:t>
            </w:r>
          </w:p>
        </w:tc>
        <w:tc>
          <w:tcPr>
            <w:tcW w:w="119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电视机</w:t>
            </w:r>
          </w:p>
        </w:tc>
        <w:tc>
          <w:tcPr>
            <w:tcW w:w="780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参数：屏幕尺寸：不小于58英寸；分辨率：不小于3840*2160；操作系统：Android7.0；面板类型：A+级屏；能效等级：二级；背光灯类型：LED发光二极管；产品品类：网络电视,LED液晶电视,智能电视,全高清电视；</w:t>
            </w:r>
          </w:p>
        </w:tc>
        <w:tc>
          <w:tcPr>
            <w:tcW w:w="12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2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台</w:t>
            </w:r>
          </w:p>
        </w:tc>
      </w:tr>
      <w:tr>
        <w:tblPrEx>
          <w:tblCellMar>
            <w:top w:w="0" w:type="dxa"/>
            <w:left w:w="0" w:type="dxa"/>
            <w:bottom w:w="0" w:type="dxa"/>
            <w:right w:w="0" w:type="dxa"/>
          </w:tblCellMar>
        </w:tblPrEx>
        <w:trPr>
          <w:trHeight w:val="268" w:hRule="atLeast"/>
        </w:trPr>
        <w:tc>
          <w:tcPr>
            <w:tcW w:w="2394" w:type="dxa"/>
            <w:gridSpan w:val="4"/>
            <w:tcBorders>
              <w:top w:val="single" w:color="000000" w:sz="4" w:space="0"/>
              <w:left w:val="single" w:color="000000" w:sz="4" w:space="0"/>
              <w:bottom w:val="single" w:color="000000" w:sz="4" w:space="0"/>
              <w:right w:val="single" w:color="000000" w:sz="4" w:space="0"/>
            </w:tcBorders>
            <w:shd w:val="clear" w:color="auto" w:fill="FFFF00"/>
            <w:noWrap w:val="0"/>
            <w:tcMar>
              <w:top w:w="15" w:type="dxa"/>
              <w:left w:w="15" w:type="dxa"/>
              <w:right w:w="15" w:type="dxa"/>
            </w:tcMar>
            <w:vAlign w:val="center"/>
          </w:tcPr>
          <w:p>
            <w:pPr>
              <w:widowControl/>
              <w:jc w:val="left"/>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尿检区</w:t>
            </w:r>
          </w:p>
        </w:tc>
        <w:tc>
          <w:tcPr>
            <w:tcW w:w="7806" w:type="dxa"/>
            <w:gridSpan w:val="2"/>
            <w:tcBorders>
              <w:top w:val="single" w:color="000000" w:sz="4" w:space="0"/>
              <w:left w:val="single" w:color="000000" w:sz="4" w:space="0"/>
              <w:bottom w:val="single" w:color="000000" w:sz="4" w:space="0"/>
              <w:right w:val="single" w:color="000000" w:sz="4" w:space="0"/>
            </w:tcBorders>
            <w:shd w:val="clear" w:color="auto" w:fill="FFFF00"/>
            <w:noWrap w:val="0"/>
            <w:tcMar>
              <w:top w:w="15" w:type="dxa"/>
              <w:left w:w="15" w:type="dxa"/>
              <w:right w:w="15" w:type="dxa"/>
            </w:tcMar>
            <w:vAlign w:val="center"/>
          </w:tcPr>
          <w:p>
            <w:pPr>
              <w:jc w:val="center"/>
              <w:rPr>
                <w:rFonts w:hint="eastAsia" w:ascii="宋体" w:hAnsi="宋体" w:cs="宋体"/>
                <w:color w:val="000000"/>
                <w:sz w:val="18"/>
                <w:szCs w:val="18"/>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00"/>
            <w:noWrap w:val="0"/>
            <w:tcMar>
              <w:top w:w="15" w:type="dxa"/>
              <w:left w:w="15" w:type="dxa"/>
              <w:right w:w="15" w:type="dxa"/>
            </w:tcMar>
            <w:vAlign w:val="center"/>
          </w:tcPr>
          <w:p>
            <w:pPr>
              <w:jc w:val="center"/>
              <w:rPr>
                <w:rFonts w:hint="eastAsia" w:ascii="宋体" w:hAnsi="宋体" w:cs="宋体"/>
                <w:color w:val="000000"/>
                <w:sz w:val="20"/>
                <w:szCs w:val="20"/>
              </w:rPr>
            </w:pPr>
          </w:p>
        </w:tc>
        <w:tc>
          <w:tcPr>
            <w:tcW w:w="2095" w:type="dxa"/>
            <w:tcBorders>
              <w:top w:val="single" w:color="000000" w:sz="4" w:space="0"/>
              <w:left w:val="single" w:color="000000" w:sz="4" w:space="0"/>
              <w:bottom w:val="single" w:color="000000" w:sz="4" w:space="0"/>
              <w:right w:val="single" w:color="000000" w:sz="4" w:space="0"/>
            </w:tcBorders>
            <w:shd w:val="clear" w:color="auto" w:fill="FFFF00"/>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77" w:hRule="atLeast"/>
        </w:trPr>
        <w:tc>
          <w:tcPr>
            <w:tcW w:w="11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36</w:t>
            </w:r>
          </w:p>
        </w:tc>
        <w:tc>
          <w:tcPr>
            <w:tcW w:w="11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智能尿检一体机</w:t>
            </w:r>
          </w:p>
        </w:tc>
        <w:tc>
          <w:tcPr>
            <w:tcW w:w="780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功能：智能尿检终端，集成高性能工控机，不小于19寸触摸显示屏，RFID读卡器，签字版，指纹采集仪、打印机、高清摄像头，小型冰箱等设备对尿检信息提供全电子化记录功能。</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设备参数：约1844mm*568mm*530mm，像素：不小于400万，冷藏温度：1-10度</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20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个</w:t>
            </w:r>
          </w:p>
        </w:tc>
      </w:tr>
      <w:tr>
        <w:tblPrEx>
          <w:tblCellMar>
            <w:top w:w="0" w:type="dxa"/>
            <w:left w:w="0" w:type="dxa"/>
            <w:bottom w:w="0" w:type="dxa"/>
            <w:right w:w="0" w:type="dxa"/>
          </w:tblCellMar>
        </w:tblPrEx>
        <w:trPr>
          <w:trHeight w:val="268" w:hRule="atLeast"/>
        </w:trPr>
        <w:tc>
          <w:tcPr>
            <w:tcW w:w="11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37</w:t>
            </w:r>
          </w:p>
        </w:tc>
        <w:tc>
          <w:tcPr>
            <w:tcW w:w="119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感应洗手盆</w:t>
            </w:r>
          </w:p>
        </w:tc>
        <w:tc>
          <w:tcPr>
            <w:tcW w:w="780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功能：红外线感应，龙头自动出水，自动断水。                                                            参数:220V电源，感应距离5-20CM，流量0.3L/min,湿度90%以下。</w:t>
            </w:r>
          </w:p>
        </w:tc>
        <w:tc>
          <w:tcPr>
            <w:tcW w:w="12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2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个</w:t>
            </w:r>
          </w:p>
        </w:tc>
      </w:tr>
      <w:tr>
        <w:tblPrEx>
          <w:tblCellMar>
            <w:top w:w="0" w:type="dxa"/>
            <w:left w:w="0" w:type="dxa"/>
            <w:bottom w:w="0" w:type="dxa"/>
            <w:right w:w="0" w:type="dxa"/>
          </w:tblCellMar>
        </w:tblPrEx>
        <w:trPr>
          <w:trHeight w:val="268" w:hRule="atLeast"/>
        </w:trPr>
        <w:tc>
          <w:tcPr>
            <w:tcW w:w="2394" w:type="dxa"/>
            <w:gridSpan w:val="4"/>
            <w:tcBorders>
              <w:top w:val="single" w:color="000000" w:sz="4" w:space="0"/>
              <w:left w:val="single" w:color="000000" w:sz="4" w:space="0"/>
              <w:bottom w:val="single" w:color="000000" w:sz="4" w:space="0"/>
              <w:right w:val="single" w:color="000000" w:sz="4" w:space="0"/>
            </w:tcBorders>
            <w:shd w:val="clear" w:color="auto" w:fill="FFFF00"/>
            <w:noWrap w:val="0"/>
            <w:tcMar>
              <w:top w:w="15" w:type="dxa"/>
              <w:left w:w="15" w:type="dxa"/>
              <w:right w:w="15" w:type="dxa"/>
            </w:tcMar>
            <w:vAlign w:val="center"/>
          </w:tcPr>
          <w:p>
            <w:pPr>
              <w:widowControl/>
              <w:jc w:val="left"/>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网络设备</w:t>
            </w:r>
          </w:p>
        </w:tc>
        <w:tc>
          <w:tcPr>
            <w:tcW w:w="7806" w:type="dxa"/>
            <w:gridSpan w:val="2"/>
            <w:tcBorders>
              <w:top w:val="single" w:color="000000" w:sz="4" w:space="0"/>
              <w:left w:val="single" w:color="000000" w:sz="4" w:space="0"/>
              <w:bottom w:val="single" w:color="000000" w:sz="4" w:space="0"/>
              <w:right w:val="single" w:color="000000" w:sz="4" w:space="0"/>
            </w:tcBorders>
            <w:shd w:val="clear" w:color="auto" w:fill="FFFF00"/>
            <w:noWrap w:val="0"/>
            <w:tcMar>
              <w:top w:w="15" w:type="dxa"/>
              <w:left w:w="15" w:type="dxa"/>
              <w:right w:w="15" w:type="dxa"/>
            </w:tcMar>
            <w:vAlign w:val="center"/>
          </w:tcPr>
          <w:p>
            <w:pPr>
              <w:jc w:val="center"/>
              <w:rPr>
                <w:rFonts w:hint="eastAsia" w:ascii="宋体" w:hAnsi="宋体" w:cs="宋体"/>
                <w:color w:val="000000"/>
                <w:sz w:val="18"/>
                <w:szCs w:val="18"/>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00"/>
            <w:noWrap w:val="0"/>
            <w:tcMar>
              <w:top w:w="15" w:type="dxa"/>
              <w:left w:w="15" w:type="dxa"/>
              <w:right w:w="15" w:type="dxa"/>
            </w:tcMar>
            <w:vAlign w:val="center"/>
          </w:tcPr>
          <w:p>
            <w:pPr>
              <w:jc w:val="center"/>
              <w:rPr>
                <w:rFonts w:hint="eastAsia" w:ascii="宋体" w:hAnsi="宋体" w:cs="宋体"/>
                <w:color w:val="000000"/>
                <w:sz w:val="20"/>
                <w:szCs w:val="20"/>
              </w:rPr>
            </w:pPr>
          </w:p>
        </w:tc>
        <w:tc>
          <w:tcPr>
            <w:tcW w:w="2095" w:type="dxa"/>
            <w:tcBorders>
              <w:top w:val="single" w:color="000000" w:sz="4" w:space="0"/>
              <w:left w:val="single" w:color="000000" w:sz="4" w:space="0"/>
              <w:bottom w:val="single" w:color="000000" w:sz="4" w:space="0"/>
              <w:right w:val="single" w:color="000000" w:sz="4" w:space="0"/>
            </w:tcBorders>
            <w:shd w:val="clear" w:color="auto" w:fill="FFFF00"/>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268" w:hRule="atLeast"/>
        </w:trPr>
        <w:tc>
          <w:tcPr>
            <w:tcW w:w="11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38</w:t>
            </w:r>
          </w:p>
        </w:tc>
        <w:tc>
          <w:tcPr>
            <w:tcW w:w="11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服务器</w:t>
            </w:r>
          </w:p>
        </w:tc>
        <w:tc>
          <w:tcPr>
            <w:tcW w:w="780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Intel Xeon Processor E5-2603V4 双CPU，8GB*2/DDR4，1TB*2，RAID1，2U机架，双电源；8口/SAS/6Gb/支持RAID 0、RAID 1、RAID 10阵列；</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20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台</w:t>
            </w:r>
          </w:p>
        </w:tc>
      </w:tr>
      <w:tr>
        <w:tblPrEx>
          <w:tblCellMar>
            <w:top w:w="0" w:type="dxa"/>
            <w:left w:w="0" w:type="dxa"/>
            <w:bottom w:w="0" w:type="dxa"/>
            <w:right w:w="0" w:type="dxa"/>
          </w:tblCellMar>
        </w:tblPrEx>
        <w:trPr>
          <w:trHeight w:val="477" w:hRule="atLeast"/>
        </w:trPr>
        <w:tc>
          <w:tcPr>
            <w:tcW w:w="11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39</w:t>
            </w:r>
          </w:p>
        </w:tc>
        <w:tc>
          <w:tcPr>
            <w:tcW w:w="11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光盘打印刻录一体机</w:t>
            </w:r>
          </w:p>
        </w:tc>
        <w:tc>
          <w:tcPr>
            <w:tcW w:w="780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功能：通过同步刻录音视频设备与智能询讯问专用桌相关联，实现案件电子光盘化，有效节约纸张成本。</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要求：USB接口，打印区域120mm,支持光盘打印，包括（BD-R，DVD±R，CD-R；普通或防水可打印光盘），操作系统Windows 2000/XP/Vista/7，Mac OS X v10.2或更高，约381x375x178mm，4.1kg。</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20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台</w:t>
            </w:r>
          </w:p>
        </w:tc>
      </w:tr>
      <w:tr>
        <w:tblPrEx>
          <w:tblCellMar>
            <w:top w:w="0" w:type="dxa"/>
            <w:left w:w="0" w:type="dxa"/>
            <w:bottom w:w="0" w:type="dxa"/>
            <w:right w:w="0" w:type="dxa"/>
          </w:tblCellMar>
        </w:tblPrEx>
        <w:trPr>
          <w:trHeight w:val="268" w:hRule="atLeast"/>
        </w:trPr>
        <w:tc>
          <w:tcPr>
            <w:tcW w:w="11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40</w:t>
            </w:r>
          </w:p>
        </w:tc>
        <w:tc>
          <w:tcPr>
            <w:tcW w:w="11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服务器</w:t>
            </w:r>
          </w:p>
        </w:tc>
        <w:tc>
          <w:tcPr>
            <w:tcW w:w="780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同步刻录专用服务器，最大可支持10间询（讯）问室列队刻录。Intel Xeon Processor E5-2603V4，16GB/DDR4/1TB*3  SAS盘，RAID0，塔式服务器</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20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台</w:t>
            </w:r>
          </w:p>
        </w:tc>
      </w:tr>
      <w:tr>
        <w:tblPrEx>
          <w:tblCellMar>
            <w:top w:w="0" w:type="dxa"/>
            <w:left w:w="0" w:type="dxa"/>
            <w:bottom w:w="0" w:type="dxa"/>
            <w:right w:w="0" w:type="dxa"/>
          </w:tblCellMar>
        </w:tblPrEx>
        <w:trPr>
          <w:trHeight w:val="268" w:hRule="atLeast"/>
        </w:trPr>
        <w:tc>
          <w:tcPr>
            <w:tcW w:w="11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41</w:t>
            </w:r>
          </w:p>
        </w:tc>
        <w:tc>
          <w:tcPr>
            <w:tcW w:w="11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RFID定位器</w:t>
            </w:r>
          </w:p>
        </w:tc>
        <w:tc>
          <w:tcPr>
            <w:tcW w:w="780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功能：通过人员身份辨识设备支撑智能防拆电子腕带的正常运行，从而达到实时掌控执法对象在办案区的活动轨迹，能够实现与办案区系统无缝对接，全面实现通过驱动办案区弱电和办案软件使办案程序有序进行。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参数：识别距离： 最远可达150米(空旷距离测试），识别速度：120Km/h，识别能力： 同时识别200张以上的标签，识别角度： 全向，工作频段： 2.4GHz、125KHz，重量：约258g，尺寸：约直径160mm,高100mm，防水等级 ：IP67，重量 ：约720g，尺寸：约240*240*40mm，安装方式：吊顶或墙面安装</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22</w:t>
            </w:r>
          </w:p>
        </w:tc>
        <w:tc>
          <w:tcPr>
            <w:tcW w:w="20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套</w:t>
            </w:r>
          </w:p>
        </w:tc>
      </w:tr>
      <w:tr>
        <w:tblPrEx>
          <w:tblCellMar>
            <w:top w:w="0" w:type="dxa"/>
            <w:left w:w="0" w:type="dxa"/>
            <w:bottom w:w="0" w:type="dxa"/>
            <w:right w:w="0" w:type="dxa"/>
          </w:tblCellMar>
        </w:tblPrEx>
        <w:trPr>
          <w:trHeight w:val="268" w:hRule="atLeast"/>
        </w:trPr>
        <w:tc>
          <w:tcPr>
            <w:tcW w:w="2394" w:type="dxa"/>
            <w:gridSpan w:val="4"/>
            <w:tcBorders>
              <w:top w:val="single" w:color="000000" w:sz="4" w:space="0"/>
              <w:left w:val="single" w:color="000000" w:sz="4" w:space="0"/>
              <w:bottom w:val="single" w:color="000000" w:sz="4" w:space="0"/>
              <w:right w:val="single" w:color="000000" w:sz="4" w:space="0"/>
            </w:tcBorders>
            <w:shd w:val="clear" w:color="auto" w:fill="FFFF00"/>
            <w:noWrap w:val="0"/>
            <w:tcMar>
              <w:top w:w="15" w:type="dxa"/>
              <w:left w:w="15" w:type="dxa"/>
              <w:right w:w="15" w:type="dxa"/>
            </w:tcMar>
            <w:vAlign w:val="center"/>
          </w:tcPr>
          <w:p>
            <w:pPr>
              <w:widowControl/>
              <w:jc w:val="left"/>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审讯指挥室</w:t>
            </w:r>
          </w:p>
        </w:tc>
        <w:tc>
          <w:tcPr>
            <w:tcW w:w="7806" w:type="dxa"/>
            <w:gridSpan w:val="2"/>
            <w:tcBorders>
              <w:top w:val="single" w:color="000000" w:sz="4" w:space="0"/>
              <w:left w:val="single" w:color="000000" w:sz="4" w:space="0"/>
              <w:bottom w:val="single" w:color="000000" w:sz="4" w:space="0"/>
              <w:right w:val="single" w:color="000000" w:sz="4" w:space="0"/>
            </w:tcBorders>
            <w:shd w:val="clear" w:color="auto" w:fill="FFFF00"/>
            <w:noWrap w:val="0"/>
            <w:tcMar>
              <w:top w:w="15" w:type="dxa"/>
              <w:left w:w="15" w:type="dxa"/>
              <w:right w:w="15" w:type="dxa"/>
            </w:tcMar>
            <w:vAlign w:val="center"/>
          </w:tcPr>
          <w:p>
            <w:pPr>
              <w:jc w:val="center"/>
              <w:rPr>
                <w:rFonts w:hint="eastAsia" w:ascii="宋体" w:hAnsi="宋体" w:cs="宋体"/>
                <w:color w:val="000000"/>
                <w:sz w:val="18"/>
                <w:szCs w:val="18"/>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00"/>
            <w:noWrap w:val="0"/>
            <w:tcMar>
              <w:top w:w="15" w:type="dxa"/>
              <w:left w:w="15" w:type="dxa"/>
              <w:right w:w="15" w:type="dxa"/>
            </w:tcMar>
            <w:vAlign w:val="center"/>
          </w:tcPr>
          <w:p>
            <w:pPr>
              <w:jc w:val="center"/>
              <w:rPr>
                <w:rFonts w:hint="eastAsia" w:ascii="宋体" w:hAnsi="宋体" w:cs="宋体"/>
                <w:color w:val="000000"/>
                <w:sz w:val="20"/>
                <w:szCs w:val="20"/>
              </w:rPr>
            </w:pPr>
          </w:p>
        </w:tc>
        <w:tc>
          <w:tcPr>
            <w:tcW w:w="2095" w:type="dxa"/>
            <w:tcBorders>
              <w:top w:val="single" w:color="000000" w:sz="4" w:space="0"/>
              <w:left w:val="single" w:color="000000" w:sz="4" w:space="0"/>
              <w:bottom w:val="single" w:color="000000" w:sz="4" w:space="0"/>
              <w:right w:val="single" w:color="000000" w:sz="4" w:space="0"/>
            </w:tcBorders>
            <w:shd w:val="clear" w:color="auto" w:fill="FFFF00"/>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77" w:hRule="atLeast"/>
        </w:trPr>
        <w:tc>
          <w:tcPr>
            <w:tcW w:w="11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42</w:t>
            </w:r>
          </w:p>
        </w:tc>
        <w:tc>
          <w:tcPr>
            <w:tcW w:w="1197"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49寸LCD液晶拼接大屏</w:t>
            </w:r>
          </w:p>
        </w:tc>
        <w:tc>
          <w:tcPr>
            <w:tcW w:w="780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LCD液晶显示单元；</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尺寸：不小于49英寸；</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分辨率：不小于1920x1080；</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视角：178°(水平)/ 178°(垂直)；</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响应时间：8ms(G to G)；</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对比度：4000:1；</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亮度：500cd/㎡；</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物理拼缝：不大于1.8mm；</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输入接口:VGA×1，DVI×1，BNC×1，YPbPr×1，HDMI×1,USB×1</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输出接口:VGA×1，DVI×1，BNC×2</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控制接口:RJ45 for RS-232（输入×1，输出×2）</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可选配接口:3G SDI(输入×1、输出×1)、DP、HDbaseT、TVI(输入×1、输出×1)、网络源</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功耗：≤134W；</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电源要求：AC 100-240 V；</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寿命：≥60000 小时；</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工作温度和湿度0℃--50℃：10%--90%（无凝露）；</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外形尺寸:约1075.58mm(W) x 605.8mm(H) x 116.57mm(D)</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边框宽度:约0.9mm（左/上）, 0.9mm（右/下）</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w:t>
            </w:r>
          </w:p>
        </w:tc>
        <w:tc>
          <w:tcPr>
            <w:tcW w:w="2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块</w:t>
            </w:r>
          </w:p>
        </w:tc>
      </w:tr>
      <w:tr>
        <w:tblPrEx>
          <w:tblCellMar>
            <w:top w:w="0" w:type="dxa"/>
            <w:left w:w="0" w:type="dxa"/>
            <w:bottom w:w="0" w:type="dxa"/>
            <w:right w:w="0" w:type="dxa"/>
          </w:tblCellMar>
        </w:tblPrEx>
        <w:trPr>
          <w:trHeight w:val="477" w:hRule="atLeast"/>
        </w:trPr>
        <w:tc>
          <w:tcPr>
            <w:tcW w:w="11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43</w:t>
            </w:r>
          </w:p>
        </w:tc>
        <w:tc>
          <w:tcPr>
            <w:tcW w:w="1197"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LCD拼接屏支架</w:t>
            </w:r>
          </w:p>
        </w:tc>
        <w:tc>
          <w:tcPr>
            <w:tcW w:w="780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根据现场尺寸、可能要加的监视器情况定制</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w:t>
            </w:r>
          </w:p>
        </w:tc>
        <w:tc>
          <w:tcPr>
            <w:tcW w:w="2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r>
      <w:tr>
        <w:tblPrEx>
          <w:tblCellMar>
            <w:top w:w="0" w:type="dxa"/>
            <w:left w:w="0" w:type="dxa"/>
            <w:bottom w:w="0" w:type="dxa"/>
            <w:right w:w="0" w:type="dxa"/>
          </w:tblCellMar>
        </w:tblPrEx>
        <w:trPr>
          <w:trHeight w:val="268" w:hRule="atLeast"/>
        </w:trPr>
        <w:tc>
          <w:tcPr>
            <w:tcW w:w="11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44</w:t>
            </w:r>
          </w:p>
        </w:tc>
        <w:tc>
          <w:tcPr>
            <w:tcW w:w="1197"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大屏线缆</w:t>
            </w:r>
          </w:p>
        </w:tc>
        <w:tc>
          <w:tcPr>
            <w:tcW w:w="780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DVI-D电缆,单通道,10m,黑色，拼接控制器到大屏的连线；原装线缆。</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w:t>
            </w:r>
          </w:p>
        </w:tc>
        <w:tc>
          <w:tcPr>
            <w:tcW w:w="2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条</w:t>
            </w:r>
          </w:p>
        </w:tc>
      </w:tr>
      <w:tr>
        <w:tblPrEx>
          <w:tblCellMar>
            <w:top w:w="0" w:type="dxa"/>
            <w:left w:w="0" w:type="dxa"/>
            <w:bottom w:w="0" w:type="dxa"/>
            <w:right w:w="0" w:type="dxa"/>
          </w:tblCellMar>
        </w:tblPrEx>
        <w:trPr>
          <w:trHeight w:val="477" w:hRule="atLeast"/>
        </w:trPr>
        <w:tc>
          <w:tcPr>
            <w:tcW w:w="11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45</w:t>
            </w:r>
          </w:p>
        </w:tc>
        <w:tc>
          <w:tcPr>
            <w:tcW w:w="1197"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视频综合平台一体机</w:t>
            </w:r>
          </w:p>
        </w:tc>
        <w:tc>
          <w:tcPr>
            <w:tcW w:w="780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19英寸标准7U机箱，3槽位机箱，单电源，单主控板。支持8路VGA输入和12路DVI输出，支持解码48路1080P，或96路720P，或192路4CIF以下分辨率。</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8路音频输入，1个DB15转BNC接口；音频输出：2个DB15接口，转12路BNC；</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编码分辨率：（1024×768@60Hz、1280×1024@60Hz、1280×800@60Hz、1366×768@60Hz、1440×900@60Hz、1680×1050@60Hz、1280×960@60Hz、1600×1200@60Hz、1280×720P@50Hz、1280×720P@60Hz、1920×1080I@50Hz、1920×1080I@60Hz、1920×1080P@50Hz、1920×1080P@60Hz）</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输出分辨率：（1600×1200@60Hz、1920×1080@60Hz、1920×1080@50Hz、1400×1050@60Hz、1680×1050@60Hz、1280×720@60Hz、1280×720@50Hz、1360×768@60Hz、1280×1024@60Hz、1024×768@60Hz）</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2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台</w:t>
            </w:r>
          </w:p>
        </w:tc>
      </w:tr>
      <w:tr>
        <w:tblPrEx>
          <w:tblCellMar>
            <w:top w:w="0" w:type="dxa"/>
            <w:left w:w="0" w:type="dxa"/>
            <w:bottom w:w="0" w:type="dxa"/>
            <w:right w:w="0" w:type="dxa"/>
          </w:tblCellMar>
        </w:tblPrEx>
        <w:trPr>
          <w:trHeight w:val="268" w:hRule="atLeast"/>
        </w:trPr>
        <w:tc>
          <w:tcPr>
            <w:tcW w:w="11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46</w:t>
            </w:r>
          </w:p>
        </w:tc>
        <w:tc>
          <w:tcPr>
            <w:tcW w:w="11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电脑</w:t>
            </w:r>
          </w:p>
        </w:tc>
        <w:tc>
          <w:tcPr>
            <w:tcW w:w="780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不小于I5处理器，不小于8G内存，不小于1T硬盘</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20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台</w:t>
            </w:r>
          </w:p>
        </w:tc>
      </w:tr>
      <w:tr>
        <w:tblPrEx>
          <w:tblCellMar>
            <w:top w:w="0" w:type="dxa"/>
            <w:left w:w="0" w:type="dxa"/>
            <w:bottom w:w="0" w:type="dxa"/>
            <w:right w:w="0" w:type="dxa"/>
          </w:tblCellMar>
        </w:tblPrEx>
        <w:trPr>
          <w:trHeight w:val="268" w:hRule="atLeast"/>
        </w:trPr>
        <w:tc>
          <w:tcPr>
            <w:tcW w:w="11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47</w:t>
            </w:r>
          </w:p>
        </w:tc>
        <w:tc>
          <w:tcPr>
            <w:tcW w:w="119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显示器</w:t>
            </w:r>
          </w:p>
        </w:tc>
        <w:tc>
          <w:tcPr>
            <w:tcW w:w="780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产品类型：LED显示器，广视角显示器，护眼显示器，屏幕尺寸不小于19.5英寸，最佳分辨率不小于1440×900，屏幕比例16:9(宽屏)，高清标准不小于720p(高清)，面板类型IPS </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20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台</w:t>
            </w:r>
          </w:p>
        </w:tc>
      </w:tr>
      <w:tr>
        <w:tblPrEx>
          <w:tblCellMar>
            <w:top w:w="0" w:type="dxa"/>
            <w:left w:w="0" w:type="dxa"/>
            <w:bottom w:w="0" w:type="dxa"/>
            <w:right w:w="0" w:type="dxa"/>
          </w:tblCellMar>
        </w:tblPrEx>
        <w:trPr>
          <w:gridAfter w:val="2"/>
          <w:wAfter w:w="2107" w:type="dxa"/>
          <w:trHeight w:val="268" w:hRule="atLeast"/>
        </w:trPr>
        <w:tc>
          <w:tcPr>
            <w:tcW w:w="11418" w:type="dxa"/>
            <w:gridSpan w:val="7"/>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一、监控系统</w:t>
            </w:r>
          </w:p>
        </w:tc>
      </w:tr>
      <w:tr>
        <w:tblPrEx>
          <w:tblCellMar>
            <w:top w:w="0" w:type="dxa"/>
            <w:left w:w="0" w:type="dxa"/>
            <w:bottom w:w="0" w:type="dxa"/>
            <w:right w:w="0" w:type="dxa"/>
          </w:tblCellMar>
        </w:tblPrEx>
        <w:trPr>
          <w:trHeight w:val="854" w:hRule="atLeast"/>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w:t>
            </w:r>
          </w:p>
        </w:tc>
        <w:tc>
          <w:tcPr>
            <w:tcW w:w="159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200万网络摄像机（2.7-12mm变焦、带拾音模块）</w:t>
            </w:r>
          </w:p>
        </w:tc>
        <w:tc>
          <w:tcPr>
            <w:tcW w:w="7989"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最高分辨率可达1920×1080@ 30 fps,在该分辨率下可输出实时图像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·采用ROI、SVC等视频压缩技术,压缩比高,且处理非常灵活,超低码率</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·逐行扫描CMOS,捕捉运动图像无锯齿</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·可选配高效红外灯,使用寿命长,照射距离可达10-30米</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·可支持PoE供电功能</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·支持3D数字降噪</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·支持3D数字降噪</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·支持Micro SD/SDHC/SDXC卡(64G)本地存储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·支持电动变焦镜头(-Z选配)</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·支持三码流,支持手机监控</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·支持走廊模式,背光补偿,自动电子快门功能,适应不同监控环境</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·支持越界侦测,区域入侵侦测,音频异常侦测,虚焦侦测,移动侦测,动态分析等多种报警功能</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·功能齐全:一键恢复,心跳,镜像等</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·符合IP66级防尘防水设计,可靠性高</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·具有三轴调节功能,方便工程安装</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·防暴IK10</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·支持GB28181协议</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39</w:t>
            </w:r>
            <w:r>
              <w:rPr>
                <w:rFonts w:hint="eastAsia" w:ascii="宋体" w:hAnsi="宋体" w:cs="宋体"/>
                <w:color w:val="000000"/>
                <w:sz w:val="18"/>
                <w:szCs w:val="18"/>
              </w:rPr>
              <w:t xml:space="preserve"> </w:t>
            </w:r>
          </w:p>
        </w:tc>
        <w:tc>
          <w:tcPr>
            <w:tcW w:w="20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台</w:t>
            </w:r>
          </w:p>
        </w:tc>
      </w:tr>
      <w:tr>
        <w:tblPrEx>
          <w:tblCellMar>
            <w:top w:w="0" w:type="dxa"/>
            <w:left w:w="0" w:type="dxa"/>
            <w:bottom w:w="0" w:type="dxa"/>
            <w:right w:w="0" w:type="dxa"/>
          </w:tblCellMar>
        </w:tblPrEx>
        <w:trPr>
          <w:trHeight w:val="854" w:hRule="atLeast"/>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w:t>
            </w:r>
          </w:p>
        </w:tc>
        <w:tc>
          <w:tcPr>
            <w:tcW w:w="159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200万1/3” CMOS超宽动态 ICR日夜型半球型网络摄像机</w:t>
            </w:r>
          </w:p>
        </w:tc>
        <w:tc>
          <w:tcPr>
            <w:tcW w:w="7989"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传感器类型 1/3" Progressive Scan CMOS</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最低照度 彩色：0.005Lux @(F1.2,AGC ON) ,黑白:0.001Lux @(F1.2,AGC ON)  0 Lux with IR</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快门 1秒至1/100,000秒</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慢快门 支持</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镜头 2.8-12mm @ F1.4 水平视场角: 105.4°-33.6°</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调整角度 水平:0°~355°,垂直:0°~75°,旋转0°~355°</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日夜转换模式 ICR红外滤片式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数字降噪 3D数字降噪</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宽动态范围 120dB</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压缩标准</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视频压缩标准 H.265/H.264 / MJPEG</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H.265编码类型 Main Profile</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H.264编码类型 BaseLine Profile / Main Profile / High Profile</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视频压缩码率 32 Kbps~16Mbps</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音频压缩标准 G.711/G.722.1/G.726/MP2L2/PCM</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音频压缩码率 64Kbps(G.711) / 16Kbps(G.722.1)  / 16Kbps(G.726) / 32-192Kbps(MP2L2)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图像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最大图像尺寸 1920×1080</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主码流分辨率与帧率 50Hz: 25fps (1920 × 1080,1280 × 960,1280 × 720);60Hz: 30fps (1920 × 1080,1280 × 960,1280 × 720)</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第三码流分辨率与帧率 独立于主码流设置,最高支持:50Hz: 25fps(1920 × 1080);60Hz: 30fps(1920 × 1080)</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图像设置 走廊模式,饱和度,亮度,对比度,锐度通过客户端或者浏览器可调</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图像增强 背光补偿,强光抑制,透雾,电子防抖,3D降噪</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区域裁剪 支持裁剪画面传输</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日夜转换方式 自动,定时,报警触发</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图片叠加 支持BMP 24位图像叠加,可选择区域</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感兴趣区域 ROI支持三码流分别设置4个固定区域、保证低码率下人脸细节</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网络功能</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存储功能 支持Micro SD/Micro SDHC/Micro SDXC卡(128G)断网本地存储及断网续传,NAS(NFS,SMB/CIFS均支持)</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智能报警 移动侦测,遮挡报警,网线断,IP地址冲突,存储器满,存储器错,非法访问</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支持协议 TCP/IP,ICMP,HTTP,HTTPS,FTP,DHCP,DNS,DDNS,RTP,RTSP,RTCP, PPPoE,NTP,UPnP,SMTP,SNMP,IGMP,802.1X,QoS,IPv6,Bonjour</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接口协议 ONVIF(PROFILE S,PROFILE G),ISAPI,GB28181,Ehome</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通用功能 一键恢复,防闪烁,三码流,心跳,镜像,密码保护,视频遮盖,水印技术,IP地址过滤</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SMART侦测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行为分析 越界侦测,区域入侵侦测,进入/离开区域侦测,徘徊侦测,人员聚集侦测,快速运动侦测,停车侦测,物品遗留/拿取侦测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异常侦测 场景变更侦测,音频陡升/陡降侦测,音频有无侦测,虚焦侦测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识别检测 人脸侦测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音频</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环境噪声过滤 支持</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音频采样率 最大支持48kHz</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接口</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音频接口 1对3.5mm音频输入(Line in)/输出外部接口</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通讯接口 1 个RJ45 10M / 100M自适应以太网口,1个RS-485接口</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电源输出 支持1路两线式DC 12V 200mA电源输出</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报警输入 1路</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报警输出 1路,最大支持AC/DC 24V 1A Max</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视频输出 1Vp-p Composite Output(75Ω/CVBS)</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一般规范</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工作温度和湿度 -30℃~60℃,湿度小于95%(无凝结)</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电源供应 DC12V±20%/PoE(802.3af)</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电源接口类型 两线式电源接口</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功耗 12W MAX</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红外照射距离 支持红外10-30米</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防暴等级 防暴等级支持IK10</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7</w:t>
            </w:r>
            <w:r>
              <w:rPr>
                <w:rFonts w:hint="eastAsia" w:ascii="宋体" w:hAnsi="宋体" w:cs="宋体"/>
                <w:color w:val="000000"/>
                <w:sz w:val="18"/>
                <w:szCs w:val="18"/>
              </w:rPr>
              <w:t xml:space="preserve"> </w:t>
            </w:r>
          </w:p>
        </w:tc>
        <w:tc>
          <w:tcPr>
            <w:tcW w:w="20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台</w:t>
            </w:r>
          </w:p>
        </w:tc>
      </w:tr>
      <w:tr>
        <w:tblPrEx>
          <w:tblCellMar>
            <w:top w:w="0" w:type="dxa"/>
            <w:left w:w="0" w:type="dxa"/>
            <w:bottom w:w="0" w:type="dxa"/>
            <w:right w:w="0" w:type="dxa"/>
          </w:tblCellMar>
        </w:tblPrEx>
        <w:trPr>
          <w:trHeight w:val="854" w:hRule="atLeast"/>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w:t>
            </w:r>
          </w:p>
        </w:tc>
        <w:tc>
          <w:tcPr>
            <w:tcW w:w="159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3寸200万网络球机（带拾音模块）</w:t>
            </w:r>
          </w:p>
        </w:tc>
        <w:tc>
          <w:tcPr>
            <w:tcW w:w="7989"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转速： 中速球； 是否支持红外： 否  ；使用环境： 室外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安装方式： 多种安装方式可选（壁装/嵌入式/吸顶/三脚架安装方式），根据应用环境进行选择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电压： DC12V和 POE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功率： 8W max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镜头： 2.8-12mm，4倍光学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图像传感器： Progressive Scan CMOS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有效像素： 1920×1080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信噪比： 大于 52dB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重量： 950g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工作温度： -30℃-65℃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旋转速度： 水平键控速度为0.1°-60°/s, 垂直键控速度为0.1°-50°/s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最低照度： 0.05Lux/F2.0(彩色),0.005Lux/F2.0(黑白)</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7</w:t>
            </w:r>
            <w:r>
              <w:rPr>
                <w:rFonts w:hint="eastAsia" w:ascii="宋体" w:hAnsi="宋体" w:cs="宋体"/>
                <w:color w:val="000000"/>
                <w:sz w:val="18"/>
                <w:szCs w:val="18"/>
              </w:rPr>
              <w:t xml:space="preserve"> </w:t>
            </w:r>
          </w:p>
        </w:tc>
        <w:tc>
          <w:tcPr>
            <w:tcW w:w="20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台</w:t>
            </w:r>
          </w:p>
        </w:tc>
      </w:tr>
      <w:tr>
        <w:tblPrEx>
          <w:tblCellMar>
            <w:top w:w="0" w:type="dxa"/>
            <w:left w:w="0" w:type="dxa"/>
            <w:bottom w:w="0" w:type="dxa"/>
            <w:right w:w="0" w:type="dxa"/>
          </w:tblCellMar>
        </w:tblPrEx>
        <w:trPr>
          <w:trHeight w:val="854" w:hRule="atLeast"/>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w:t>
            </w:r>
          </w:p>
        </w:tc>
        <w:tc>
          <w:tcPr>
            <w:tcW w:w="159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拾音器</w:t>
            </w:r>
          </w:p>
        </w:tc>
        <w:tc>
          <w:tcPr>
            <w:tcW w:w="7989"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拾音距离 70平方米</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音频传输距离 3000米</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灵敏度 -34dB</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频率响应 20Hz～20KHz</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指向特性 全指向性</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信噪比 60dB（1米40 dB音源SP）40dB(10米40 dB 音源SP)1KHz at 1 Pa</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动态范围 70dB(1KHz at Max dB SP)</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承受音压 120dB SP（1KHz，THD 1%）</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输出阻抗 600欧姆非平衡</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输出信号幅度 2.5Vpp/-25dB</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麦克风 全向麦克风</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信号处理电路 ANC环境噪声消除技术</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保护电路 30KV Air contact ESD、雷击保护、电源极性反接保护</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驱动能力 内置前置放大电路，可直接驱动耳机</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连接方式 3条引线（电源、音频、公共地）</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传输线缆 3芯0.5mm2RVVP屏蔽电缆</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电源电压 直流稳压电源DC 12V（9V--15V）</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电源电流 25mA</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工作环境温度 -25℃～70℃</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颜色 白色/深蓝色</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外壳材质 PVC</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外形尺寸 Φ78mm×28mm</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重量 约82g</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35</w:t>
            </w:r>
            <w:r>
              <w:rPr>
                <w:rFonts w:hint="eastAsia" w:ascii="宋体" w:hAnsi="宋体" w:cs="宋体"/>
                <w:color w:val="000000"/>
                <w:sz w:val="18"/>
                <w:szCs w:val="18"/>
              </w:rPr>
              <w:t xml:space="preserve"> </w:t>
            </w:r>
          </w:p>
        </w:tc>
        <w:tc>
          <w:tcPr>
            <w:tcW w:w="20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台</w:t>
            </w:r>
          </w:p>
        </w:tc>
      </w:tr>
      <w:tr>
        <w:tblPrEx>
          <w:tblCellMar>
            <w:top w:w="0" w:type="dxa"/>
            <w:left w:w="0" w:type="dxa"/>
            <w:bottom w:w="0" w:type="dxa"/>
            <w:right w:w="0" w:type="dxa"/>
          </w:tblCellMar>
        </w:tblPrEx>
        <w:trPr>
          <w:trHeight w:val="854" w:hRule="atLeast"/>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5</w:t>
            </w:r>
          </w:p>
        </w:tc>
        <w:tc>
          <w:tcPr>
            <w:tcW w:w="159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32路8盘NVR</w:t>
            </w:r>
          </w:p>
        </w:tc>
        <w:tc>
          <w:tcPr>
            <w:tcW w:w="7989" w:type="dxa"/>
            <w:gridSpan w:val="3"/>
            <w:tcBorders>
              <w:top w:val="single" w:color="A6A6A6" w:sz="4" w:space="0"/>
              <w:left w:val="single" w:color="A6A6A6" w:sz="4" w:space="0"/>
              <w:bottom w:val="nil"/>
              <w:right w:val="single" w:color="A6A6A6" w:sz="4" w:space="0"/>
            </w:tcBorders>
            <w:shd w:val="clear" w:color="auto" w:fill="auto"/>
            <w:noWrap w:val="0"/>
            <w:tcMar>
              <w:top w:w="15" w:type="dxa"/>
              <w:left w:w="15" w:type="dxa"/>
              <w:right w:w="15" w:type="dxa"/>
            </w:tcMar>
            <w:vAlign w:val="top"/>
          </w:tcPr>
          <w:p>
            <w:pPr>
              <w:widowControl/>
              <w:jc w:val="left"/>
              <w:textAlignment w:val="top"/>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2U标准机架式IP存储，嵌入式处理器，嵌入式软硬件设计；支持32路高清，320M带宽网络视频接入，160M网络带宽输出；支持关键视频添加标签和加锁保护、断网续传、SMART 2.0等功能；2个千兆以太网口，充分满足网络预览、回放以及备份应用。</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6</w:t>
            </w:r>
            <w:r>
              <w:rPr>
                <w:rFonts w:hint="eastAsia" w:ascii="宋体" w:hAnsi="宋体" w:cs="宋体"/>
                <w:color w:val="000000"/>
                <w:sz w:val="18"/>
                <w:szCs w:val="18"/>
              </w:rPr>
              <w:t xml:space="preserve"> </w:t>
            </w:r>
          </w:p>
        </w:tc>
        <w:tc>
          <w:tcPr>
            <w:tcW w:w="2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台</w:t>
            </w:r>
          </w:p>
        </w:tc>
      </w:tr>
      <w:tr>
        <w:tblPrEx>
          <w:tblCellMar>
            <w:top w:w="0" w:type="dxa"/>
            <w:left w:w="0" w:type="dxa"/>
            <w:bottom w:w="0" w:type="dxa"/>
            <w:right w:w="0" w:type="dxa"/>
          </w:tblCellMar>
        </w:tblPrEx>
        <w:trPr>
          <w:trHeight w:val="854" w:hRule="atLeast"/>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6</w:t>
            </w:r>
          </w:p>
        </w:tc>
        <w:tc>
          <w:tcPr>
            <w:tcW w:w="159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监控硬盘（4T）</w:t>
            </w:r>
          </w:p>
        </w:tc>
        <w:tc>
          <w:tcPr>
            <w:tcW w:w="7989"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4TB/64MB(6Gb/秒 NCQ)/7200RPM/SATA3</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48</w:t>
            </w:r>
            <w:r>
              <w:rPr>
                <w:rFonts w:hint="eastAsia" w:ascii="宋体" w:hAnsi="宋体" w:cs="宋体"/>
                <w:color w:val="000000"/>
                <w:sz w:val="18"/>
                <w:szCs w:val="18"/>
              </w:rPr>
              <w:t xml:space="preserve"> </w:t>
            </w:r>
          </w:p>
        </w:tc>
        <w:tc>
          <w:tcPr>
            <w:tcW w:w="20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台</w:t>
            </w:r>
          </w:p>
        </w:tc>
      </w:tr>
      <w:tr>
        <w:tblPrEx>
          <w:tblCellMar>
            <w:top w:w="0" w:type="dxa"/>
            <w:left w:w="0" w:type="dxa"/>
            <w:bottom w:w="0" w:type="dxa"/>
            <w:right w:w="0" w:type="dxa"/>
          </w:tblCellMar>
        </w:tblPrEx>
        <w:trPr>
          <w:trHeight w:val="854" w:hRule="atLeast"/>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7</w:t>
            </w:r>
          </w:p>
        </w:tc>
        <w:tc>
          <w:tcPr>
            <w:tcW w:w="159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专业电源</w:t>
            </w:r>
          </w:p>
        </w:tc>
        <w:tc>
          <w:tcPr>
            <w:tcW w:w="7989"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铝合金外壳，输出5V/18A具备短路，过载保护</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5</w:t>
            </w:r>
            <w:r>
              <w:rPr>
                <w:rFonts w:hint="eastAsia" w:ascii="宋体" w:hAnsi="宋体" w:cs="宋体"/>
                <w:color w:val="000000"/>
                <w:sz w:val="18"/>
                <w:szCs w:val="18"/>
              </w:rPr>
              <w:t xml:space="preserve"> </w:t>
            </w:r>
          </w:p>
        </w:tc>
        <w:tc>
          <w:tcPr>
            <w:tcW w:w="2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台</w:t>
            </w:r>
          </w:p>
        </w:tc>
      </w:tr>
      <w:tr>
        <w:tblPrEx>
          <w:tblCellMar>
            <w:top w:w="0" w:type="dxa"/>
            <w:left w:w="0" w:type="dxa"/>
            <w:bottom w:w="0" w:type="dxa"/>
            <w:right w:w="0" w:type="dxa"/>
          </w:tblCellMar>
        </w:tblPrEx>
        <w:trPr>
          <w:trHeight w:val="854" w:hRule="atLeast"/>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8</w:t>
            </w:r>
          </w:p>
        </w:tc>
        <w:tc>
          <w:tcPr>
            <w:tcW w:w="159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专用电源</w:t>
            </w:r>
          </w:p>
        </w:tc>
        <w:tc>
          <w:tcPr>
            <w:tcW w:w="7989"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铝合金外壳，输出12V/29A具备短路，过载保护</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6</w:t>
            </w:r>
            <w:r>
              <w:rPr>
                <w:rFonts w:hint="eastAsia" w:ascii="宋体" w:hAnsi="宋体" w:cs="宋体"/>
                <w:color w:val="000000"/>
                <w:sz w:val="18"/>
                <w:szCs w:val="18"/>
              </w:rPr>
              <w:t xml:space="preserve"> </w:t>
            </w:r>
          </w:p>
        </w:tc>
        <w:tc>
          <w:tcPr>
            <w:tcW w:w="20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台</w:t>
            </w:r>
          </w:p>
        </w:tc>
      </w:tr>
      <w:tr>
        <w:tblPrEx>
          <w:tblCellMar>
            <w:top w:w="0" w:type="dxa"/>
            <w:left w:w="0" w:type="dxa"/>
            <w:bottom w:w="0" w:type="dxa"/>
            <w:right w:w="0" w:type="dxa"/>
          </w:tblCellMar>
        </w:tblPrEx>
        <w:trPr>
          <w:trHeight w:val="854" w:hRule="atLeast"/>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9</w:t>
            </w:r>
          </w:p>
        </w:tc>
        <w:tc>
          <w:tcPr>
            <w:tcW w:w="159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专用电源</w:t>
            </w:r>
          </w:p>
        </w:tc>
        <w:tc>
          <w:tcPr>
            <w:tcW w:w="7989"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铝合金外壳，输出15V/10A；具备短路，过载保护</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11</w:t>
            </w:r>
            <w:r>
              <w:rPr>
                <w:rFonts w:hint="eastAsia" w:ascii="宋体" w:hAnsi="宋体" w:cs="宋体"/>
                <w:color w:val="000000"/>
                <w:sz w:val="18"/>
                <w:szCs w:val="18"/>
              </w:rPr>
              <w:t xml:space="preserve"> </w:t>
            </w:r>
          </w:p>
        </w:tc>
        <w:tc>
          <w:tcPr>
            <w:tcW w:w="2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台</w:t>
            </w:r>
          </w:p>
        </w:tc>
      </w:tr>
      <w:tr>
        <w:tblPrEx>
          <w:tblCellMar>
            <w:top w:w="0" w:type="dxa"/>
            <w:left w:w="0" w:type="dxa"/>
            <w:bottom w:w="0" w:type="dxa"/>
            <w:right w:w="0" w:type="dxa"/>
          </w:tblCellMar>
        </w:tblPrEx>
        <w:trPr>
          <w:trHeight w:val="854" w:hRule="atLeast"/>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10</w:t>
            </w:r>
          </w:p>
        </w:tc>
        <w:tc>
          <w:tcPr>
            <w:tcW w:w="159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机柜</w:t>
            </w:r>
          </w:p>
        </w:tc>
        <w:tc>
          <w:tcPr>
            <w:tcW w:w="7989"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标准配置:前门平板网门，后门平板网门，6位国标排插组件1套。固定板3块，风扇组件1套（除600深机柜配2只风扇外，其余配4只），重型脚轮4只，方螺母螺钉40套，支脚4只，内六扳手1只.</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标准:符合ANSI/EIA RS-310-D、IEC297-2、DIN41491; PART1、DIN41494; PART7、 GB/T3047.2- 92标准;兼容ETSI标准.</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特点:国际流行的白色透明钢化玻璃前门，玻璃上下两边丝印黑色网纹;前后为圆形通风孔的上下框;主体颜色为国际流行RAL7035;可同时安装脚轮和支脚;结构坚固，最大静载达800KG(带支脚）;可关闭的上部、下部多处走线通道，底部大走线孔尺寸可按需调整;可选配安装底座，达到固定机柜、底部过线、底部送冷风、防鼠的要求 ;可方便拆卸的左右侧门和前后门;齐全的可选配件.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承载:静载800KG(带支架)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防护等级:IP20</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主要材料:SPCC优质冷扎钢板制作；厚度：方孔条2.0mm，安装梁1.5mm，其它1.2mm。</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表面处理:方孔条镀蓝锌；其余：脱脂、磷化、静电喷塑</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w:t>
            </w:r>
            <w:r>
              <w:rPr>
                <w:rFonts w:hint="eastAsia" w:ascii="宋体" w:hAnsi="宋体" w:cs="宋体"/>
                <w:color w:val="000000"/>
                <w:sz w:val="18"/>
                <w:szCs w:val="18"/>
              </w:rPr>
              <w:t xml:space="preserve"> </w:t>
            </w:r>
          </w:p>
        </w:tc>
        <w:tc>
          <w:tcPr>
            <w:tcW w:w="20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台</w:t>
            </w:r>
          </w:p>
        </w:tc>
      </w:tr>
      <w:tr>
        <w:tblPrEx>
          <w:tblCellMar>
            <w:top w:w="0" w:type="dxa"/>
            <w:left w:w="0" w:type="dxa"/>
            <w:bottom w:w="0" w:type="dxa"/>
            <w:right w:w="0" w:type="dxa"/>
          </w:tblCellMar>
        </w:tblPrEx>
        <w:trPr>
          <w:trHeight w:val="854" w:hRule="atLeast"/>
        </w:trPr>
        <w:tc>
          <w:tcPr>
            <w:tcW w:w="13525" w:type="dxa"/>
            <w:gridSpan w:val="9"/>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widowControl/>
              <w:jc w:val="left"/>
              <w:rPr>
                <w:rFonts w:hint="eastAsia" w:ascii="宋体" w:hAnsi="宋体" w:cs="宋体"/>
                <w:color w:val="000000"/>
                <w:sz w:val="18"/>
                <w:szCs w:val="18"/>
              </w:rPr>
            </w:pPr>
            <w:r>
              <w:rPr>
                <w:rFonts w:hint="eastAsia" w:ascii="宋体" w:hAnsi="宋体" w:cs="宋体"/>
                <w:color w:val="000000"/>
                <w:kern w:val="0"/>
                <w:sz w:val="18"/>
                <w:szCs w:val="18"/>
                <w:lang w:bidi="ar"/>
              </w:rPr>
              <w:t>二、计算机信息网络</w:t>
            </w:r>
          </w:p>
        </w:tc>
      </w:tr>
      <w:tr>
        <w:tblPrEx>
          <w:tblCellMar>
            <w:top w:w="0" w:type="dxa"/>
            <w:left w:w="0" w:type="dxa"/>
            <w:bottom w:w="0" w:type="dxa"/>
            <w:right w:w="0" w:type="dxa"/>
          </w:tblCellMar>
        </w:tblPrEx>
        <w:trPr>
          <w:trHeight w:val="854" w:hRule="atLeast"/>
        </w:trPr>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w:t>
            </w:r>
          </w:p>
        </w:tc>
        <w:tc>
          <w:tcPr>
            <w:tcW w:w="159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24口核心交换机</w:t>
            </w:r>
          </w:p>
        </w:tc>
        <w:tc>
          <w:tcPr>
            <w:tcW w:w="798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主要参数</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产品类型 千兆以太网交换机</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应用层级 三层</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传输速率 10/100/1000Mbps</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交换方式 存储-转发</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背板带宽 256Gbps</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包转发率 72Mpps</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MAC地址表 16K</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端口参数</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端口结构 非模块化</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端口数量 24个</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端口描述 24个10/100/1000Base-T端口</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控制端口 4个100/1000Base-X千兆Combo口</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扩展模块 1个堆叠扩展插槽</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传输模式 全双工/半双工自适应</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功能特性</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网络标准 IEEE 802.3，IEEE 802.3u，IEEE 802.3ab，IEEE 802.3z，IEEE 802.3x，IEEE 802.1Q，IEEE 802.1d，IEEE 802.1X</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堆叠功能 可堆叠</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VLAN 支持4K个VLAN</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支持Guest VLAN、Voice VLAN</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支持基于MAC/协议/IP子网/策略/端口的VLAN</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支持1:1和N:1 VLAN交换功能</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QOS 支持对端口接收和发送报文的速率进行限制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支持报文重定向</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支持基于端口的流量监管，支持双速三色CAR功能</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每端口支持8个队列</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支持WRR、DRR、SP、WRR＋SP、DRR+SP队列调度算法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支持报文的802.1p和DSCP优先级重新标记</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支持L2（Layer 2）-L4（Layer 4）包过滤功能，提供基于源MAC</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地址、目的MAC地址、源IP地址、目的IP地址、端口、协议、VLAN</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的非法帧过滤功能</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支持基于队列限速和端口Shapping功能</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组播管理 支持IGMP v1/v2/v3 Snooping</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和快速离开机制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支持VLAN内组播转发和组播</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多VLAN复制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支持捆绑端口的组播负载分担</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支持可控组播</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基于端口的组播流量统计</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网络管理 支持堆叠</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支持MFF</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支持虚拟电缆检测（Virtual Cable Test）</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支持端口镜像和RSPAN（远程端口镜像）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支持Telnet远程配置、维护</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支持SNMPv1/v2/v3</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支持RMON</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支持网管系统、支持WEB网管特性</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支持集群管理HGMP</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支持系统日志、分级告警</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支持GVRP协议</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支持MUX VLAN功能</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安全管理 用户分级管理和口令保护</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支持防止DOS、ARP攻击功能、ICMP防攻击</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支持IP、MAC、端口、VLAN的组合绑定</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支持端口隔离、端口安全、Sticky MAC</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支持黑洞MAC地址</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支持MAC地址学习数目限制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支持IEEE 802.1X认证，支持单端口最大用户数限制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支持AAA认证，支持Radius、TACACS+、NAC等多种方式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支持SSH V2.0</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支持HTTPS</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支持CPU保护功能</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支持 黑名单和白名单纠错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其它参数</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电源电压 AC 100-240V</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电源功率 &lt;40W</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产品尺寸 250×180×43.6mm</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产品重量 &lt;1.4kg</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环境标准 工作温度：0-50℃</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工作湿度：10%-90%</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存储温度：-5-55℃</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存储湿度：10%-90%</w:t>
            </w:r>
          </w:p>
        </w:tc>
        <w:tc>
          <w:tcPr>
            <w:tcW w:w="12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w:t>
            </w:r>
            <w:r>
              <w:rPr>
                <w:rFonts w:hint="eastAsia" w:ascii="宋体" w:hAnsi="宋体" w:cs="宋体"/>
                <w:color w:val="000000"/>
                <w:sz w:val="18"/>
                <w:szCs w:val="18"/>
              </w:rPr>
              <w:t xml:space="preserve"> </w:t>
            </w:r>
          </w:p>
        </w:tc>
        <w:tc>
          <w:tcPr>
            <w:tcW w:w="2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台</w:t>
            </w:r>
          </w:p>
        </w:tc>
      </w:tr>
      <w:tr>
        <w:tblPrEx>
          <w:tblCellMar>
            <w:top w:w="0" w:type="dxa"/>
            <w:left w:w="0" w:type="dxa"/>
            <w:bottom w:w="0" w:type="dxa"/>
            <w:right w:w="0" w:type="dxa"/>
          </w:tblCellMar>
        </w:tblPrEx>
        <w:trPr>
          <w:trHeight w:val="854"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w:t>
            </w:r>
          </w:p>
        </w:tc>
        <w:tc>
          <w:tcPr>
            <w:tcW w:w="159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24口千兆交换机</w:t>
            </w:r>
          </w:p>
        </w:tc>
        <w:tc>
          <w:tcPr>
            <w:tcW w:w="7989"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主要参数</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产品类型  网管交换机</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传输速率  10/100/1000Mbps</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MAC地址表  16K</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端口参数</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端口数量  28个</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端口描述  24个10/100/1000Base-T以太网端口</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4个千兆SFP</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功能特性</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网络标准  支持EEE能效以太网</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VLAN  支持</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其它参数</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电源电压  100V-240V AC，50-60Hz</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电源功率  20.2W</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产品尺寸  442×220×43.6mm</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环境标准  工作温度：0-45℃</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工作湿度：5%-95%</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10</w:t>
            </w:r>
            <w:r>
              <w:rPr>
                <w:rFonts w:hint="eastAsia" w:ascii="宋体" w:hAnsi="宋体" w:cs="宋体"/>
                <w:color w:val="000000"/>
                <w:sz w:val="18"/>
                <w:szCs w:val="18"/>
              </w:rPr>
              <w:t xml:space="preserve"> </w:t>
            </w:r>
          </w:p>
        </w:tc>
        <w:tc>
          <w:tcPr>
            <w:tcW w:w="2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台</w:t>
            </w:r>
          </w:p>
        </w:tc>
      </w:tr>
      <w:tr>
        <w:tblPrEx>
          <w:tblCellMar>
            <w:top w:w="0" w:type="dxa"/>
            <w:left w:w="0" w:type="dxa"/>
            <w:bottom w:w="0" w:type="dxa"/>
            <w:right w:w="0" w:type="dxa"/>
          </w:tblCellMar>
        </w:tblPrEx>
        <w:trPr>
          <w:trHeight w:val="854"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w:t>
            </w:r>
          </w:p>
        </w:tc>
        <w:tc>
          <w:tcPr>
            <w:tcW w:w="159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六类配线架</w:t>
            </w:r>
          </w:p>
        </w:tc>
        <w:tc>
          <w:tcPr>
            <w:tcW w:w="7989"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IDC触针镀金50μ，可连接线径0.4-0.6mm，卡接次数&gt;250次；插拔次数≥750次,材料：PC/PPO,符合ISO/IEC11801/TIA/EIA-568B.2-1,19"标准宽度,1U标准高度,模块可独拆装</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13</w:t>
            </w:r>
          </w:p>
        </w:tc>
        <w:tc>
          <w:tcPr>
            <w:tcW w:w="20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个(块)</w:t>
            </w:r>
          </w:p>
        </w:tc>
      </w:tr>
      <w:tr>
        <w:tblPrEx>
          <w:tblCellMar>
            <w:top w:w="0" w:type="dxa"/>
            <w:left w:w="0" w:type="dxa"/>
            <w:bottom w:w="0" w:type="dxa"/>
            <w:right w:w="0" w:type="dxa"/>
          </w:tblCellMar>
        </w:tblPrEx>
        <w:trPr>
          <w:trHeight w:val="854"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w:t>
            </w:r>
          </w:p>
        </w:tc>
        <w:tc>
          <w:tcPr>
            <w:tcW w:w="159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理线架</w:t>
            </w:r>
          </w:p>
        </w:tc>
        <w:tc>
          <w:tcPr>
            <w:tcW w:w="7989"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19"标准宽度,1U标准高度,每个配线架(含网络\电话\配线架)选配一个理线器。理线架选用1.5MM的冷轧板一次成型</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13</w:t>
            </w:r>
            <w:r>
              <w:rPr>
                <w:rFonts w:hint="eastAsia" w:ascii="宋体" w:hAnsi="宋体" w:cs="宋体"/>
                <w:color w:val="000000"/>
                <w:sz w:val="18"/>
                <w:szCs w:val="18"/>
              </w:rPr>
              <w:t xml:space="preserve"> </w:t>
            </w:r>
          </w:p>
        </w:tc>
        <w:tc>
          <w:tcPr>
            <w:tcW w:w="20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条</w:t>
            </w:r>
          </w:p>
        </w:tc>
      </w:tr>
      <w:tr>
        <w:tblPrEx>
          <w:tblCellMar>
            <w:top w:w="0" w:type="dxa"/>
            <w:left w:w="0" w:type="dxa"/>
            <w:bottom w:w="0" w:type="dxa"/>
            <w:right w:w="0" w:type="dxa"/>
          </w:tblCellMar>
        </w:tblPrEx>
        <w:trPr>
          <w:trHeight w:val="477" w:hRule="atLeast"/>
        </w:trPr>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5</w:t>
            </w:r>
          </w:p>
        </w:tc>
        <w:tc>
          <w:tcPr>
            <w:tcW w:w="159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千兆多模光模块</w:t>
            </w:r>
          </w:p>
        </w:tc>
        <w:tc>
          <w:tcPr>
            <w:tcW w:w="798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类型：千兆多模光纤模块；传输距离：500M。接口：LC接口</w:t>
            </w:r>
          </w:p>
        </w:tc>
        <w:tc>
          <w:tcPr>
            <w:tcW w:w="12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26</w:t>
            </w:r>
            <w:r>
              <w:rPr>
                <w:rFonts w:hint="eastAsia" w:ascii="宋体" w:hAnsi="宋体" w:cs="宋体"/>
                <w:color w:val="000000"/>
                <w:sz w:val="18"/>
                <w:szCs w:val="18"/>
              </w:rPr>
              <w:t xml:space="preserve"> </w:t>
            </w:r>
          </w:p>
        </w:tc>
        <w:tc>
          <w:tcPr>
            <w:tcW w:w="2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个</w:t>
            </w:r>
          </w:p>
        </w:tc>
      </w:tr>
      <w:tr>
        <w:tblPrEx>
          <w:tblCellMar>
            <w:top w:w="0" w:type="dxa"/>
            <w:left w:w="0" w:type="dxa"/>
            <w:bottom w:w="0" w:type="dxa"/>
            <w:right w:w="0" w:type="dxa"/>
          </w:tblCellMar>
        </w:tblPrEx>
        <w:trPr>
          <w:trHeight w:val="477" w:hRule="atLeast"/>
        </w:trPr>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6</w:t>
            </w:r>
          </w:p>
        </w:tc>
        <w:tc>
          <w:tcPr>
            <w:tcW w:w="159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LC多模OM3光纤尾纤</w:t>
            </w:r>
          </w:p>
        </w:tc>
        <w:tc>
          <w:tcPr>
            <w:tcW w:w="798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5米</w:t>
            </w:r>
          </w:p>
        </w:tc>
        <w:tc>
          <w:tcPr>
            <w:tcW w:w="12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26</w:t>
            </w:r>
            <w:r>
              <w:rPr>
                <w:rFonts w:hint="eastAsia" w:ascii="宋体" w:hAnsi="宋体" w:cs="宋体"/>
                <w:color w:val="000000"/>
                <w:sz w:val="18"/>
                <w:szCs w:val="18"/>
              </w:rPr>
              <w:t xml:space="preserve"> </w:t>
            </w:r>
          </w:p>
        </w:tc>
        <w:tc>
          <w:tcPr>
            <w:tcW w:w="2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条</w:t>
            </w:r>
          </w:p>
        </w:tc>
      </w:tr>
      <w:tr>
        <w:tblPrEx>
          <w:tblCellMar>
            <w:top w:w="0" w:type="dxa"/>
            <w:left w:w="0" w:type="dxa"/>
            <w:bottom w:w="0" w:type="dxa"/>
            <w:right w:w="0" w:type="dxa"/>
          </w:tblCellMar>
        </w:tblPrEx>
        <w:trPr>
          <w:trHeight w:val="477" w:hRule="atLeast"/>
        </w:trPr>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7</w:t>
            </w:r>
          </w:p>
        </w:tc>
        <w:tc>
          <w:tcPr>
            <w:tcW w:w="159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24/48口光纤配线架</w:t>
            </w:r>
          </w:p>
        </w:tc>
        <w:tc>
          <w:tcPr>
            <w:tcW w:w="798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光纤配线架 光缆终端盒</w:t>
            </w:r>
          </w:p>
        </w:tc>
        <w:tc>
          <w:tcPr>
            <w:tcW w:w="12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w:t>
            </w:r>
            <w:r>
              <w:rPr>
                <w:rFonts w:hint="eastAsia" w:ascii="宋体" w:hAnsi="宋体" w:cs="宋体"/>
                <w:color w:val="000000"/>
                <w:sz w:val="18"/>
                <w:szCs w:val="18"/>
              </w:rPr>
              <w:t xml:space="preserve"> </w:t>
            </w:r>
          </w:p>
        </w:tc>
        <w:tc>
          <w:tcPr>
            <w:tcW w:w="2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套</w:t>
            </w:r>
          </w:p>
        </w:tc>
      </w:tr>
      <w:tr>
        <w:tblPrEx>
          <w:tblCellMar>
            <w:top w:w="0" w:type="dxa"/>
            <w:left w:w="0" w:type="dxa"/>
            <w:bottom w:w="0" w:type="dxa"/>
            <w:right w:w="0" w:type="dxa"/>
          </w:tblCellMar>
        </w:tblPrEx>
        <w:trPr>
          <w:trHeight w:val="477" w:hRule="atLeast"/>
        </w:trPr>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8</w:t>
            </w:r>
          </w:p>
        </w:tc>
        <w:tc>
          <w:tcPr>
            <w:tcW w:w="159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光纤熔接费</w:t>
            </w:r>
          </w:p>
        </w:tc>
        <w:tc>
          <w:tcPr>
            <w:tcW w:w="798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2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w:t>
            </w:r>
            <w:r>
              <w:rPr>
                <w:rFonts w:hint="eastAsia" w:ascii="宋体" w:hAnsi="宋体" w:cs="宋体"/>
                <w:color w:val="000000"/>
                <w:sz w:val="18"/>
                <w:szCs w:val="18"/>
              </w:rPr>
              <w:t xml:space="preserve"> </w:t>
            </w:r>
          </w:p>
        </w:tc>
        <w:tc>
          <w:tcPr>
            <w:tcW w:w="2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项</w:t>
            </w:r>
          </w:p>
        </w:tc>
      </w:tr>
      <w:tr>
        <w:tblPrEx>
          <w:tblCellMar>
            <w:top w:w="0" w:type="dxa"/>
            <w:left w:w="0" w:type="dxa"/>
            <w:bottom w:w="0" w:type="dxa"/>
            <w:right w:w="0" w:type="dxa"/>
          </w:tblCellMar>
        </w:tblPrEx>
        <w:trPr>
          <w:trHeight w:val="854" w:hRule="atLeast"/>
        </w:trPr>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9</w:t>
            </w:r>
          </w:p>
        </w:tc>
        <w:tc>
          <w:tcPr>
            <w:tcW w:w="159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电话程控交换机</w:t>
            </w:r>
          </w:p>
        </w:tc>
        <w:tc>
          <w:tcPr>
            <w:tcW w:w="798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尺寸：310X215X70mm</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配置：标配4外线24分机，满配4外线32分</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机，支持选配2部专用话机（另外购买）</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端口馈电电压：+32V/20mA</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内线响铃电压：75VAC/50Hz</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功能：35W</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分机闪断有效时间：110~600ms</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分机来电制式：DTMF</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外线支持来电制式：DTMF/FSK</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专用话机有效距离：50米</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普通话机有效距离：500米</w:t>
            </w:r>
          </w:p>
        </w:tc>
        <w:tc>
          <w:tcPr>
            <w:tcW w:w="12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w:t>
            </w:r>
            <w:r>
              <w:rPr>
                <w:rFonts w:hint="eastAsia" w:ascii="宋体" w:hAnsi="宋体" w:cs="宋体"/>
                <w:color w:val="000000"/>
                <w:sz w:val="18"/>
                <w:szCs w:val="18"/>
              </w:rPr>
              <w:t xml:space="preserve"> </w:t>
            </w:r>
          </w:p>
        </w:tc>
        <w:tc>
          <w:tcPr>
            <w:tcW w:w="2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台</w:t>
            </w:r>
          </w:p>
        </w:tc>
      </w:tr>
      <w:tr>
        <w:tblPrEx>
          <w:tblCellMar>
            <w:top w:w="0" w:type="dxa"/>
            <w:left w:w="0" w:type="dxa"/>
            <w:bottom w:w="0" w:type="dxa"/>
            <w:right w:w="0" w:type="dxa"/>
          </w:tblCellMar>
        </w:tblPrEx>
        <w:trPr>
          <w:trHeight w:val="854" w:hRule="atLeast"/>
        </w:trPr>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10</w:t>
            </w:r>
          </w:p>
        </w:tc>
        <w:tc>
          <w:tcPr>
            <w:tcW w:w="159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Style w:val="15"/>
                <w:rFonts w:hint="default"/>
                <w:lang w:bidi="ar"/>
              </w:rPr>
              <w:t>8进</w:t>
            </w:r>
            <w:r>
              <w:rPr>
                <w:rFonts w:ascii="Tahoma" w:hAnsi="Tahoma" w:eastAsia="Tahoma" w:cs="Tahoma"/>
                <w:color w:val="666666"/>
                <w:kern w:val="0"/>
                <w:sz w:val="18"/>
                <w:szCs w:val="18"/>
                <w:lang w:bidi="ar"/>
              </w:rPr>
              <w:t xml:space="preserve">1 </w:t>
            </w:r>
            <w:r>
              <w:rPr>
                <w:rStyle w:val="16"/>
                <w:rFonts w:hint="default"/>
                <w:lang w:bidi="ar"/>
              </w:rPr>
              <w:t>出控制器</w:t>
            </w:r>
          </w:p>
        </w:tc>
        <w:tc>
          <w:tcPr>
            <w:tcW w:w="798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8进1出VGA控制器，支持8台设备任意切换，</w:t>
            </w:r>
          </w:p>
        </w:tc>
        <w:tc>
          <w:tcPr>
            <w:tcW w:w="12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w:t>
            </w:r>
            <w:r>
              <w:rPr>
                <w:rFonts w:hint="eastAsia" w:ascii="宋体" w:hAnsi="宋体" w:cs="宋体"/>
                <w:color w:val="000000"/>
                <w:sz w:val="18"/>
                <w:szCs w:val="18"/>
              </w:rPr>
              <w:t xml:space="preserve"> </w:t>
            </w:r>
          </w:p>
        </w:tc>
        <w:tc>
          <w:tcPr>
            <w:tcW w:w="2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台</w:t>
            </w:r>
          </w:p>
        </w:tc>
      </w:tr>
      <w:tr>
        <w:tblPrEx>
          <w:tblCellMar>
            <w:top w:w="0" w:type="dxa"/>
            <w:left w:w="0" w:type="dxa"/>
            <w:bottom w:w="0" w:type="dxa"/>
            <w:right w:w="0" w:type="dxa"/>
          </w:tblCellMar>
        </w:tblPrEx>
        <w:trPr>
          <w:trHeight w:val="775" w:hRule="atLeast"/>
        </w:trPr>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11</w:t>
            </w:r>
          </w:p>
        </w:tc>
        <w:tc>
          <w:tcPr>
            <w:tcW w:w="159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智能远程控制模块</w:t>
            </w:r>
          </w:p>
        </w:tc>
        <w:tc>
          <w:tcPr>
            <w:tcW w:w="798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1、远程控制网络继电器模块；</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2、调控软件；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3、执法办案软件接口对接；</w:t>
            </w:r>
          </w:p>
        </w:tc>
        <w:tc>
          <w:tcPr>
            <w:tcW w:w="12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w:t>
            </w:r>
            <w:r>
              <w:rPr>
                <w:rFonts w:hint="eastAsia" w:ascii="宋体" w:hAnsi="宋体" w:cs="宋体"/>
                <w:color w:val="000000"/>
                <w:sz w:val="18"/>
                <w:szCs w:val="18"/>
              </w:rPr>
              <w:t xml:space="preserve"> </w:t>
            </w:r>
          </w:p>
        </w:tc>
        <w:tc>
          <w:tcPr>
            <w:tcW w:w="2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套</w:t>
            </w:r>
          </w:p>
        </w:tc>
      </w:tr>
      <w:tr>
        <w:tblPrEx>
          <w:tblCellMar>
            <w:top w:w="0" w:type="dxa"/>
            <w:left w:w="0" w:type="dxa"/>
            <w:bottom w:w="0" w:type="dxa"/>
            <w:right w:w="0" w:type="dxa"/>
          </w:tblCellMar>
        </w:tblPrEx>
        <w:trPr>
          <w:trHeight w:val="795" w:hRule="atLeast"/>
        </w:trPr>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12</w:t>
            </w:r>
          </w:p>
        </w:tc>
        <w:tc>
          <w:tcPr>
            <w:tcW w:w="159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50口电话配线架</w:t>
            </w:r>
          </w:p>
        </w:tc>
        <w:tc>
          <w:tcPr>
            <w:tcW w:w="798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满足T-568A超五类传输标准，符合T568A和T568B线序，适用于设备间的水平布线或设备端接，以及集中点的互配端接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●坚固及易于安装的设计，减少安装与操作费用，较大的正面标识空间方便端口识别，便于管理，符合19"机架安装标准</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●配线架为钢架，喷塑，黑色/彩色</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●RJ45模块插座为ABS工程塑料和聚碳酸酯，IDC打线柱夹子为磷青铜材料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●适用于22，24及26AWG（0.64，0.5及0.4mm）线缆，耐用性为250次插拔</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●标准的T568A和T568B线序</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●使用标准的110型打线工具</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●在100MHz下测试传输性能</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●品质优质通过FLUKE国际测试标准</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●适用于19英寸标准机架或机柜</w:t>
            </w:r>
          </w:p>
        </w:tc>
        <w:tc>
          <w:tcPr>
            <w:tcW w:w="12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w:t>
            </w:r>
            <w:r>
              <w:rPr>
                <w:rFonts w:hint="eastAsia" w:ascii="宋体" w:hAnsi="宋体" w:cs="宋体"/>
                <w:color w:val="000000"/>
                <w:sz w:val="18"/>
                <w:szCs w:val="18"/>
              </w:rPr>
              <w:t xml:space="preserve"> </w:t>
            </w:r>
          </w:p>
        </w:tc>
        <w:tc>
          <w:tcPr>
            <w:tcW w:w="2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个</w:t>
            </w:r>
          </w:p>
        </w:tc>
      </w:tr>
      <w:tr>
        <w:tblPrEx>
          <w:tblCellMar>
            <w:top w:w="0" w:type="dxa"/>
            <w:left w:w="0" w:type="dxa"/>
            <w:bottom w:w="0" w:type="dxa"/>
            <w:right w:w="0" w:type="dxa"/>
          </w:tblCellMar>
        </w:tblPrEx>
        <w:trPr>
          <w:trHeight w:val="636"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13</w:t>
            </w:r>
          </w:p>
        </w:tc>
        <w:tc>
          <w:tcPr>
            <w:tcW w:w="159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PDU</w:t>
            </w:r>
          </w:p>
        </w:tc>
        <w:tc>
          <w:tcPr>
            <w:tcW w:w="798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防燃烧，防触电，耐插拔8插10A，3*1MM2全铜线缆，360度可旋转固定架，高强度铝合金外壳，机械式触电总控开关，开关保护面罩。</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8</w:t>
            </w:r>
            <w:r>
              <w:rPr>
                <w:rFonts w:hint="eastAsia" w:ascii="宋体" w:hAnsi="宋体" w:cs="宋体"/>
                <w:color w:val="000000"/>
                <w:sz w:val="18"/>
                <w:szCs w:val="18"/>
              </w:rPr>
              <w:t xml:space="preserve"> </w:t>
            </w:r>
          </w:p>
        </w:tc>
        <w:tc>
          <w:tcPr>
            <w:tcW w:w="2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个</w:t>
            </w:r>
          </w:p>
        </w:tc>
      </w:tr>
      <w:tr>
        <w:tblPrEx>
          <w:tblCellMar>
            <w:top w:w="0" w:type="dxa"/>
            <w:left w:w="0" w:type="dxa"/>
            <w:bottom w:w="0" w:type="dxa"/>
            <w:right w:w="0" w:type="dxa"/>
          </w:tblCellMar>
        </w:tblPrEx>
        <w:trPr>
          <w:trHeight w:val="1092"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14</w:t>
            </w:r>
          </w:p>
        </w:tc>
        <w:tc>
          <w:tcPr>
            <w:tcW w:w="159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配电箱</w:t>
            </w:r>
          </w:p>
        </w:tc>
        <w:tc>
          <w:tcPr>
            <w:tcW w:w="798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400*500冷扎钢板1MM厚度</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11</w:t>
            </w:r>
            <w:r>
              <w:rPr>
                <w:rFonts w:hint="eastAsia" w:ascii="宋体" w:hAnsi="宋体" w:cs="宋体"/>
                <w:color w:val="000000"/>
                <w:sz w:val="18"/>
                <w:szCs w:val="18"/>
              </w:rPr>
              <w:t xml:space="preserve"> </w:t>
            </w:r>
          </w:p>
        </w:tc>
        <w:tc>
          <w:tcPr>
            <w:tcW w:w="2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台</w:t>
            </w:r>
          </w:p>
        </w:tc>
      </w:tr>
      <w:tr>
        <w:tblPrEx>
          <w:tblCellMar>
            <w:top w:w="0" w:type="dxa"/>
            <w:left w:w="0" w:type="dxa"/>
            <w:bottom w:w="0" w:type="dxa"/>
            <w:right w:w="0" w:type="dxa"/>
          </w:tblCellMar>
        </w:tblPrEx>
        <w:trPr>
          <w:trHeight w:val="153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15</w:t>
            </w:r>
          </w:p>
        </w:tc>
        <w:tc>
          <w:tcPr>
            <w:tcW w:w="159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机柜</w:t>
            </w:r>
          </w:p>
        </w:tc>
        <w:tc>
          <w:tcPr>
            <w:tcW w:w="7989"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标准配置:前门平板网门，后门平板网门，6位国标排插组件1套。固定板3块，风扇组件1套（除600深机柜配2只风扇外，其余配4只），重型脚轮4只，方螺母螺钉40套，支脚4只，内六扳手1只.</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标准:符合ANSI/EIA RS-310-D、IEC297-2、DIN41491; PART1、DIN41494; PART7、 GB/T3047.2- 92标准;兼容ETSI标准.</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特点:国际流行的白色透明钢化玻璃前门，玻璃上下两边丝印黑色网纹;前后为圆形通风孔的上下框;主体颜色为国际流行RAL7035;可同时安装脚轮和支脚;结构坚固，最大静载达800KG(带支脚）;可关闭的上部、下部多处走线通道，底部大走线孔尺寸可按需调整;可选配安装底座，达到固定机柜、底部过线、底部送冷风、防鼠的要求 ;可方便拆卸的左右侧门和前后门;齐全的可选配件.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承载:静载800KG(带支架)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防护等级:IP20</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主要材料:SPCC优质冷扎钢板制作；厚度：方孔条2.0mm，安装梁1.5mm，其它1.2mm。</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表面处理:方孔条镀蓝锌；其余：脱脂、磷化、静电喷塑</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w:t>
            </w:r>
            <w:r>
              <w:rPr>
                <w:rFonts w:hint="eastAsia" w:ascii="宋体" w:hAnsi="宋体" w:cs="宋体"/>
                <w:color w:val="000000"/>
                <w:sz w:val="18"/>
                <w:szCs w:val="18"/>
              </w:rPr>
              <w:t xml:space="preserve"> </w:t>
            </w:r>
          </w:p>
        </w:tc>
        <w:tc>
          <w:tcPr>
            <w:tcW w:w="20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台</w:t>
            </w:r>
          </w:p>
        </w:tc>
      </w:tr>
      <w:tr>
        <w:tblPrEx>
          <w:tblCellMar>
            <w:top w:w="0" w:type="dxa"/>
            <w:left w:w="0" w:type="dxa"/>
            <w:bottom w:w="0" w:type="dxa"/>
            <w:right w:w="0" w:type="dxa"/>
          </w:tblCellMar>
        </w:tblPrEx>
        <w:trPr>
          <w:gridAfter w:val="2"/>
          <w:wAfter w:w="2107" w:type="dxa"/>
          <w:trHeight w:val="978" w:hRule="atLeast"/>
        </w:trPr>
        <w:tc>
          <w:tcPr>
            <w:tcW w:w="11418" w:type="dxa"/>
            <w:gridSpan w:val="7"/>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三、门禁系统</w:t>
            </w:r>
          </w:p>
        </w:tc>
      </w:tr>
      <w:tr>
        <w:tblPrEx>
          <w:tblCellMar>
            <w:top w:w="0" w:type="dxa"/>
            <w:left w:w="0" w:type="dxa"/>
            <w:bottom w:w="0" w:type="dxa"/>
            <w:right w:w="0" w:type="dxa"/>
          </w:tblCellMar>
        </w:tblPrEx>
        <w:trPr>
          <w:trHeight w:val="822" w:hRule="atLeast"/>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w:t>
            </w:r>
          </w:p>
        </w:tc>
        <w:tc>
          <w:tcPr>
            <w:tcW w:w="159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人脸识别一体机</w:t>
            </w:r>
          </w:p>
        </w:tc>
        <w:tc>
          <w:tcPr>
            <w:tcW w:w="798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采用5英寸LCD触摸显示屏，200万像素广角摄像头，面部识别距离0.3m-1m，支持照片视频防假；采用深度学习算法，支持5000枚指纹，支持3000张人脸白名单；1：N人脸比对时间≤0.5S/人，人脸验证准确率&gt;99%；设备支持有线网络、Wifi，支持公网传输；工作电压 DC 12V/2A</w:t>
            </w:r>
          </w:p>
        </w:tc>
        <w:tc>
          <w:tcPr>
            <w:tcW w:w="12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6 </w:t>
            </w:r>
          </w:p>
        </w:tc>
        <w:tc>
          <w:tcPr>
            <w:tcW w:w="2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台</w:t>
            </w:r>
          </w:p>
        </w:tc>
      </w:tr>
      <w:tr>
        <w:tblPrEx>
          <w:tblCellMar>
            <w:top w:w="0" w:type="dxa"/>
            <w:left w:w="0" w:type="dxa"/>
            <w:bottom w:w="0" w:type="dxa"/>
            <w:right w:w="0" w:type="dxa"/>
          </w:tblCellMar>
        </w:tblPrEx>
        <w:trPr>
          <w:trHeight w:val="1431" w:hRule="atLeast"/>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w:t>
            </w:r>
          </w:p>
        </w:tc>
        <w:tc>
          <w:tcPr>
            <w:tcW w:w="159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四门控制器</w:t>
            </w:r>
          </w:p>
        </w:tc>
        <w:tc>
          <w:tcPr>
            <w:tcW w:w="7989"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基于32位ARM9微处理器内存容量32M，该器件稳定运行于180MHZ，达到200MIPS运行效率，稳定可靠，功能强大内嵌Linux操作系统，固化存储、实时性强、高可靠稳定性采用CPLD、FLASH等技术，集成度高、容量大、信息可靠不丢失TCP/IP通讯，通讯速率可达10/100MB，跨网段、跨区域实现大规模门禁系统支持局域网、VPN网、企业专网等多种组网方式，实现大规模多级管理、监控门禁系统直接控制4个门</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w:t>
            </w:r>
            <w:r>
              <w:rPr>
                <w:rFonts w:hint="eastAsia" w:ascii="宋体" w:hAnsi="宋体" w:cs="宋体"/>
                <w:color w:val="000000"/>
                <w:sz w:val="18"/>
                <w:szCs w:val="18"/>
              </w:rPr>
              <w:t xml:space="preserve"> </w:t>
            </w:r>
          </w:p>
        </w:tc>
        <w:tc>
          <w:tcPr>
            <w:tcW w:w="20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台 </w:t>
            </w:r>
          </w:p>
        </w:tc>
      </w:tr>
      <w:tr>
        <w:tblPrEx>
          <w:tblCellMar>
            <w:top w:w="0" w:type="dxa"/>
            <w:left w:w="0" w:type="dxa"/>
            <w:bottom w:w="0" w:type="dxa"/>
            <w:right w:w="0" w:type="dxa"/>
          </w:tblCellMar>
        </w:tblPrEx>
        <w:trPr>
          <w:trHeight w:val="698" w:hRule="atLeast"/>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w:t>
            </w:r>
          </w:p>
        </w:tc>
        <w:tc>
          <w:tcPr>
            <w:tcW w:w="159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双门控制器</w:t>
            </w:r>
          </w:p>
        </w:tc>
        <w:tc>
          <w:tcPr>
            <w:tcW w:w="7989"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基于32位ARM9微处理器内存容量32M，该器件稳定运行于180MHZ，达到200MIPS运行效率，稳定可靠，功能强大内嵌Linux操作系统，固化存储、实时性强、高可靠稳定性采用CPLD、FLASH等技术，集成度高、容量大、信息可靠不丢失TCP/IP通讯，通讯速率可达10/100MB，跨网段、跨区域实现大规模门禁系统支持局域网、VPN网、企业专网等多种组网方式，实现大规模多级管理、监控门禁系统直接控制2个门</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sz w:val="18"/>
                <w:szCs w:val="18"/>
              </w:rPr>
              <w:t>1</w:t>
            </w:r>
          </w:p>
        </w:tc>
        <w:tc>
          <w:tcPr>
            <w:tcW w:w="20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台 </w:t>
            </w:r>
          </w:p>
        </w:tc>
      </w:tr>
      <w:tr>
        <w:tblPrEx>
          <w:tblCellMar>
            <w:top w:w="0" w:type="dxa"/>
            <w:left w:w="0" w:type="dxa"/>
            <w:bottom w:w="0" w:type="dxa"/>
            <w:right w:w="0" w:type="dxa"/>
          </w:tblCellMar>
        </w:tblPrEx>
        <w:trPr>
          <w:trHeight w:val="698" w:hRule="atLeast"/>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w:t>
            </w:r>
          </w:p>
        </w:tc>
        <w:tc>
          <w:tcPr>
            <w:tcW w:w="159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单门磁力锁</w:t>
            </w:r>
          </w:p>
        </w:tc>
        <w:tc>
          <w:tcPr>
            <w:tcW w:w="7989"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工作电压12VDC±10%,工作电流12VDC500mA门状态信号输出，工作温度-30℃～55℃，工作湿度10%～95%RH，IP45防水等级，400kg本锁拉力，0～30S延时调节，不锈钢拉丝表面处理，通电上锁，断电开锁，门状态指示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sz w:val="18"/>
                <w:szCs w:val="18"/>
              </w:rPr>
              <w:t>2</w:t>
            </w:r>
          </w:p>
        </w:tc>
        <w:tc>
          <w:tcPr>
            <w:tcW w:w="20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套 </w:t>
            </w:r>
          </w:p>
        </w:tc>
      </w:tr>
      <w:tr>
        <w:tblPrEx>
          <w:tblCellMar>
            <w:top w:w="0" w:type="dxa"/>
            <w:left w:w="0" w:type="dxa"/>
            <w:bottom w:w="0" w:type="dxa"/>
            <w:right w:w="0" w:type="dxa"/>
          </w:tblCellMar>
        </w:tblPrEx>
        <w:trPr>
          <w:trHeight w:val="698" w:hRule="atLeast"/>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5</w:t>
            </w:r>
          </w:p>
        </w:tc>
        <w:tc>
          <w:tcPr>
            <w:tcW w:w="159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双门磁力锁</w:t>
            </w:r>
          </w:p>
        </w:tc>
        <w:tc>
          <w:tcPr>
            <w:tcW w:w="7989"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工作电压12VDC±10%,工作电流12VDC500mA门状态信号输出，工作温度-30℃～55℃，工作湿度10%～95%RH，IP45防水等级，400kg本锁拉力，0～30S延时调节，不锈钢拉丝表面处理，通电上锁，断电开锁，门状态指示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w:t>
            </w:r>
            <w:r>
              <w:rPr>
                <w:rFonts w:hint="eastAsia" w:ascii="宋体" w:hAnsi="宋体" w:cs="宋体"/>
                <w:color w:val="000000"/>
                <w:sz w:val="18"/>
                <w:szCs w:val="18"/>
              </w:rPr>
              <w:t xml:space="preserve"> </w:t>
            </w:r>
          </w:p>
        </w:tc>
        <w:tc>
          <w:tcPr>
            <w:tcW w:w="20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套</w:t>
            </w:r>
          </w:p>
        </w:tc>
      </w:tr>
      <w:tr>
        <w:tblPrEx>
          <w:tblCellMar>
            <w:top w:w="0" w:type="dxa"/>
            <w:left w:w="0" w:type="dxa"/>
            <w:bottom w:w="0" w:type="dxa"/>
            <w:right w:w="0" w:type="dxa"/>
          </w:tblCellMar>
        </w:tblPrEx>
        <w:trPr>
          <w:trHeight w:val="698" w:hRule="atLeast"/>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6</w:t>
            </w:r>
          </w:p>
        </w:tc>
        <w:tc>
          <w:tcPr>
            <w:tcW w:w="159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无框玻璃门夹支架</w:t>
            </w:r>
          </w:p>
        </w:tc>
        <w:tc>
          <w:tcPr>
            <w:tcW w:w="7989"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磁力锁支架，铝合金材质，内六角螺丝固定支架。</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w:t>
            </w:r>
            <w:r>
              <w:rPr>
                <w:rFonts w:hint="eastAsia" w:ascii="宋体" w:hAnsi="宋体" w:cs="宋体"/>
                <w:color w:val="000000"/>
                <w:sz w:val="18"/>
                <w:szCs w:val="18"/>
              </w:rPr>
              <w:t xml:space="preserve"> </w:t>
            </w:r>
          </w:p>
        </w:tc>
        <w:tc>
          <w:tcPr>
            <w:tcW w:w="20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套</w:t>
            </w:r>
          </w:p>
        </w:tc>
      </w:tr>
      <w:tr>
        <w:tblPrEx>
          <w:tblCellMar>
            <w:top w:w="0" w:type="dxa"/>
            <w:left w:w="0" w:type="dxa"/>
            <w:bottom w:w="0" w:type="dxa"/>
            <w:right w:w="0" w:type="dxa"/>
          </w:tblCellMar>
        </w:tblPrEx>
        <w:trPr>
          <w:trHeight w:val="698" w:hRule="atLeast"/>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7</w:t>
            </w:r>
          </w:p>
        </w:tc>
        <w:tc>
          <w:tcPr>
            <w:tcW w:w="159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出门按钮</w:t>
            </w:r>
          </w:p>
        </w:tc>
        <w:tc>
          <w:tcPr>
            <w:tcW w:w="7989"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门禁专用开关，优质防火助燃PC材质，超大按键，220V供电</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w:t>
            </w:r>
            <w:r>
              <w:rPr>
                <w:rFonts w:hint="eastAsia" w:ascii="宋体" w:hAnsi="宋体" w:cs="宋体"/>
                <w:color w:val="000000"/>
                <w:sz w:val="18"/>
                <w:szCs w:val="18"/>
              </w:rPr>
              <w:t xml:space="preserve"> </w:t>
            </w:r>
          </w:p>
        </w:tc>
        <w:tc>
          <w:tcPr>
            <w:tcW w:w="2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只</w:t>
            </w:r>
          </w:p>
        </w:tc>
      </w:tr>
      <w:tr>
        <w:tblPrEx>
          <w:tblCellMar>
            <w:top w:w="0" w:type="dxa"/>
            <w:left w:w="0" w:type="dxa"/>
            <w:bottom w:w="0" w:type="dxa"/>
            <w:right w:w="0" w:type="dxa"/>
          </w:tblCellMar>
        </w:tblPrEx>
        <w:trPr>
          <w:gridAfter w:val="2"/>
          <w:wAfter w:w="2107" w:type="dxa"/>
          <w:trHeight w:val="698" w:hRule="atLeast"/>
        </w:trPr>
        <w:tc>
          <w:tcPr>
            <w:tcW w:w="11418" w:type="dxa"/>
            <w:gridSpan w:val="7"/>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四、报警系统</w:t>
            </w:r>
          </w:p>
        </w:tc>
      </w:tr>
      <w:tr>
        <w:tblPrEx>
          <w:tblCellMar>
            <w:top w:w="0" w:type="dxa"/>
            <w:left w:w="0" w:type="dxa"/>
            <w:bottom w:w="0" w:type="dxa"/>
            <w:right w:w="0" w:type="dxa"/>
          </w:tblCellMar>
        </w:tblPrEx>
        <w:trPr>
          <w:trHeight w:val="914" w:hRule="atLeast"/>
        </w:trPr>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1</w:t>
            </w:r>
          </w:p>
        </w:tc>
        <w:tc>
          <w:tcPr>
            <w:tcW w:w="159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控制键盘</w:t>
            </w:r>
          </w:p>
        </w:tc>
        <w:tc>
          <w:tcPr>
            <w:tcW w:w="798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LCD报警键盘，支持遥控器布撤防(另配DS-19K00-Y遥控器)，适用于所有报警主机,尺寸(mm):156.46(长)*109.74(宽)*21.5(高)</w:t>
            </w:r>
          </w:p>
        </w:tc>
        <w:tc>
          <w:tcPr>
            <w:tcW w:w="12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台</w:t>
            </w:r>
          </w:p>
        </w:tc>
        <w:tc>
          <w:tcPr>
            <w:tcW w:w="2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1</w:t>
            </w:r>
          </w:p>
        </w:tc>
      </w:tr>
      <w:tr>
        <w:tblPrEx>
          <w:tblCellMar>
            <w:top w:w="0" w:type="dxa"/>
            <w:left w:w="0" w:type="dxa"/>
            <w:bottom w:w="0" w:type="dxa"/>
            <w:right w:w="0" w:type="dxa"/>
          </w:tblCellMar>
        </w:tblPrEx>
        <w:trPr>
          <w:trHeight w:val="894" w:hRule="atLeast"/>
        </w:trPr>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2</w:t>
            </w:r>
          </w:p>
        </w:tc>
        <w:tc>
          <w:tcPr>
            <w:tcW w:w="159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主机备用电池</w:t>
            </w:r>
          </w:p>
        </w:tc>
        <w:tc>
          <w:tcPr>
            <w:tcW w:w="798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充电后备电池（12V7AH，报警主机专用），尺寸：151mm（长）*65mm（宽）*94mm（高）</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标准电压 12V</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额定容量 7.0Ah</w:t>
            </w:r>
            <w:r>
              <w:rPr>
                <w:rFonts w:hint="eastAsia" w:ascii="微软雅黑" w:hAnsi="微软雅黑" w:eastAsia="微软雅黑" w:cs="微软雅黑"/>
                <w:color w:val="000000"/>
                <w:kern w:val="0"/>
                <w:sz w:val="16"/>
                <w:szCs w:val="16"/>
                <w:lang w:bidi="ar"/>
              </w:rPr>
              <w:br w:type="textWrapping"/>
            </w:r>
            <w:r>
              <w:rPr>
                <w:rFonts w:hint="eastAsia" w:ascii="微软雅黑" w:hAnsi="微软雅黑" w:eastAsia="微软雅黑" w:cs="微软雅黑"/>
                <w:color w:val="000000"/>
                <w:kern w:val="0"/>
                <w:sz w:val="16"/>
                <w:szCs w:val="16"/>
                <w:lang w:bidi="ar"/>
              </w:rPr>
              <w:t>重量约 2.13Kg</w:t>
            </w:r>
          </w:p>
        </w:tc>
        <w:tc>
          <w:tcPr>
            <w:tcW w:w="12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只</w:t>
            </w:r>
          </w:p>
        </w:tc>
        <w:tc>
          <w:tcPr>
            <w:tcW w:w="2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1</w:t>
            </w:r>
          </w:p>
        </w:tc>
      </w:tr>
      <w:tr>
        <w:tblPrEx>
          <w:tblCellMar>
            <w:top w:w="0" w:type="dxa"/>
            <w:left w:w="0" w:type="dxa"/>
            <w:bottom w:w="0" w:type="dxa"/>
            <w:right w:w="0" w:type="dxa"/>
          </w:tblCellMar>
        </w:tblPrEx>
        <w:trPr>
          <w:trHeight w:val="698"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3</w:t>
            </w:r>
          </w:p>
        </w:tc>
        <w:tc>
          <w:tcPr>
            <w:tcW w:w="159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紧急按钮</w:t>
            </w:r>
          </w:p>
        </w:tc>
        <w:tc>
          <w:tcPr>
            <w:tcW w:w="7989" w:type="dxa"/>
            <w:gridSpan w:val="3"/>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紧急按钮面板式（适合86底盒）钥匙复位, 无钉孔,86*86*32mm</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11</w:t>
            </w:r>
            <w:r>
              <w:rPr>
                <w:rFonts w:hint="eastAsia" w:ascii="宋体" w:hAnsi="宋体" w:cs="宋体"/>
                <w:color w:val="000000"/>
                <w:sz w:val="18"/>
                <w:szCs w:val="18"/>
              </w:rPr>
              <w:t xml:space="preserve"> </w:t>
            </w:r>
          </w:p>
        </w:tc>
        <w:tc>
          <w:tcPr>
            <w:tcW w:w="20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个</w:t>
            </w:r>
          </w:p>
        </w:tc>
      </w:tr>
      <w:tr>
        <w:tblPrEx>
          <w:tblCellMar>
            <w:top w:w="0" w:type="dxa"/>
            <w:left w:w="0" w:type="dxa"/>
            <w:bottom w:w="0" w:type="dxa"/>
            <w:right w:w="0" w:type="dxa"/>
          </w:tblCellMar>
        </w:tblPrEx>
        <w:trPr>
          <w:trHeight w:val="698"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5</w:t>
            </w:r>
          </w:p>
        </w:tc>
        <w:tc>
          <w:tcPr>
            <w:tcW w:w="159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声光报警</w:t>
            </w:r>
          </w:p>
        </w:tc>
        <w:tc>
          <w:tcPr>
            <w:tcW w:w="7989" w:type="dxa"/>
            <w:gridSpan w:val="3"/>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声光报警器(红/白双色外观),12VDC 压电警号,防火ABS阻燃外壳,声压(VDC)：110±3</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w:t>
            </w:r>
          </w:p>
        </w:tc>
        <w:tc>
          <w:tcPr>
            <w:tcW w:w="20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个</w:t>
            </w:r>
          </w:p>
        </w:tc>
      </w:tr>
      <w:tr>
        <w:tblPrEx>
          <w:tblCellMar>
            <w:top w:w="0" w:type="dxa"/>
            <w:left w:w="0" w:type="dxa"/>
            <w:bottom w:w="0" w:type="dxa"/>
            <w:right w:w="0" w:type="dxa"/>
          </w:tblCellMar>
        </w:tblPrEx>
        <w:trPr>
          <w:trHeight w:val="698"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6</w:t>
            </w:r>
          </w:p>
        </w:tc>
        <w:tc>
          <w:tcPr>
            <w:tcW w:w="159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8防区报警控制主机</w:t>
            </w:r>
          </w:p>
        </w:tc>
        <w:tc>
          <w:tcPr>
            <w:tcW w:w="7989" w:type="dxa"/>
            <w:gridSpan w:val="3"/>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专业级总线制网络报警主机，自带8防区，可扩展至256防区/自带4路继电器，可扩展至256路继电器输出/串口输出/电话/网络上报/8个独立子系统/总线可达2400米/8.2K 线尾组，支持本地8路防区/2线制防区防拆/支持定时撤布防/时控输出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w:t>
            </w:r>
          </w:p>
        </w:tc>
        <w:tc>
          <w:tcPr>
            <w:tcW w:w="20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台</w:t>
            </w:r>
          </w:p>
        </w:tc>
      </w:tr>
      <w:tr>
        <w:tblPrEx>
          <w:tblCellMar>
            <w:top w:w="0" w:type="dxa"/>
            <w:left w:w="0" w:type="dxa"/>
            <w:bottom w:w="0" w:type="dxa"/>
            <w:right w:w="0" w:type="dxa"/>
          </w:tblCellMar>
        </w:tblPrEx>
        <w:trPr>
          <w:trHeight w:val="805" w:hRule="atLeast"/>
        </w:trPr>
        <w:tc>
          <w:tcPr>
            <w:tcW w:w="615" w:type="dxa"/>
            <w:tcBorders>
              <w:top w:val="single" w:color="000000" w:sz="4" w:space="0"/>
              <w:left w:val="single" w:color="000000" w:sz="4" w:space="0"/>
              <w:bottom w:val="single" w:color="A6A6A6" w:sz="4" w:space="0"/>
              <w:right w:val="single" w:color="A6A6A6" w:sz="4" w:space="0"/>
            </w:tcBorders>
            <w:shd w:val="clear" w:color="auto" w:fill="auto"/>
            <w:noWrap w:val="0"/>
            <w:tcMar>
              <w:top w:w="15" w:type="dxa"/>
              <w:left w:w="15" w:type="dxa"/>
              <w:right w:w="15" w:type="dxa"/>
            </w:tcMar>
            <w:vAlign w:val="center"/>
          </w:tcPr>
          <w:p>
            <w:pPr>
              <w:widowControl/>
              <w:jc w:val="center"/>
              <w:textAlignment w:val="center"/>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7</w:t>
            </w:r>
          </w:p>
        </w:tc>
        <w:tc>
          <w:tcPr>
            <w:tcW w:w="159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单防区地址模块</w:t>
            </w:r>
          </w:p>
        </w:tc>
        <w:tc>
          <w:tcPr>
            <w:tcW w:w="7989" w:type="dxa"/>
            <w:gridSpan w:val="3"/>
            <w:tcBorders>
              <w:top w:val="single" w:color="000000" w:sz="4" w:space="0"/>
              <w:left w:val="single" w:color="A6A6A6" w:sz="4" w:space="0"/>
              <w:bottom w:val="single" w:color="A6A6A6" w:sz="4" w:space="0"/>
              <w:right w:val="single" w:color="A6A6A6" w:sz="4" w:space="0"/>
            </w:tcBorders>
            <w:shd w:val="clear" w:color="auto" w:fill="auto"/>
            <w:noWrap w:val="0"/>
            <w:tcMar>
              <w:top w:w="15" w:type="dxa"/>
              <w:left w:w="15" w:type="dxa"/>
              <w:right w:w="15" w:type="dxa"/>
            </w:tcMar>
            <w:vAlign w:val="center"/>
          </w:tcPr>
          <w:p>
            <w:pPr>
              <w:widowControl/>
              <w:jc w:val="center"/>
              <w:textAlignment w:val="center"/>
              <w:rPr>
                <w:rFonts w:hint="eastAsia"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lang w:bidi="ar"/>
              </w:rPr>
              <w:t>总线网络报警主机单防区扩展模块/1个扩展防区数/248最大级联数/0.8mA静态电流</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11</w:t>
            </w:r>
          </w:p>
        </w:tc>
        <w:tc>
          <w:tcPr>
            <w:tcW w:w="20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个</w:t>
            </w:r>
          </w:p>
        </w:tc>
      </w:tr>
      <w:tr>
        <w:tblPrEx>
          <w:tblCellMar>
            <w:top w:w="0" w:type="dxa"/>
            <w:left w:w="0" w:type="dxa"/>
            <w:bottom w:w="0" w:type="dxa"/>
            <w:right w:w="0" w:type="dxa"/>
          </w:tblCellMar>
        </w:tblPrEx>
        <w:trPr>
          <w:gridAfter w:val="2"/>
          <w:wAfter w:w="2107" w:type="dxa"/>
          <w:trHeight w:val="268" w:hRule="atLeast"/>
        </w:trPr>
        <w:tc>
          <w:tcPr>
            <w:tcW w:w="11418" w:type="dxa"/>
            <w:gridSpan w:val="7"/>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六、UPS系统（设计为2小时）</w:t>
            </w:r>
          </w:p>
        </w:tc>
      </w:tr>
      <w:tr>
        <w:tblPrEx>
          <w:tblCellMar>
            <w:top w:w="0" w:type="dxa"/>
            <w:left w:w="0" w:type="dxa"/>
            <w:bottom w:w="0" w:type="dxa"/>
            <w:right w:w="0" w:type="dxa"/>
          </w:tblCellMar>
        </w:tblPrEx>
        <w:trPr>
          <w:trHeight w:val="578" w:hRule="atLeast"/>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w:t>
            </w:r>
          </w:p>
        </w:tc>
        <w:tc>
          <w:tcPr>
            <w:tcW w:w="159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UPS电源</w:t>
            </w:r>
          </w:p>
        </w:tc>
        <w:tc>
          <w:tcPr>
            <w:tcW w:w="798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额定容量10KVA,输入配线3相4线+地线，电压范围：210-475V。输出电压220V。延时2小时。</w:t>
            </w:r>
          </w:p>
        </w:tc>
        <w:tc>
          <w:tcPr>
            <w:tcW w:w="12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w:t>
            </w:r>
          </w:p>
        </w:tc>
        <w:tc>
          <w:tcPr>
            <w:tcW w:w="2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台</w:t>
            </w:r>
          </w:p>
        </w:tc>
      </w:tr>
      <w:tr>
        <w:tblPrEx>
          <w:tblCellMar>
            <w:top w:w="0" w:type="dxa"/>
            <w:left w:w="0" w:type="dxa"/>
            <w:bottom w:w="0" w:type="dxa"/>
            <w:right w:w="0" w:type="dxa"/>
          </w:tblCellMar>
        </w:tblPrEx>
        <w:trPr>
          <w:trHeight w:val="578" w:hRule="atLeast"/>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w:t>
            </w:r>
          </w:p>
        </w:tc>
        <w:tc>
          <w:tcPr>
            <w:tcW w:w="159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蓄电池</w:t>
            </w:r>
          </w:p>
        </w:tc>
        <w:tc>
          <w:tcPr>
            <w:tcW w:w="798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普通铅酸系列电池12V-100AH,ABS外壳，使用寿命5-8年，25℃时自放电每月3%，</w:t>
            </w:r>
          </w:p>
        </w:tc>
        <w:tc>
          <w:tcPr>
            <w:tcW w:w="12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16</w:t>
            </w:r>
          </w:p>
        </w:tc>
        <w:tc>
          <w:tcPr>
            <w:tcW w:w="2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节</w:t>
            </w:r>
          </w:p>
        </w:tc>
      </w:tr>
      <w:tr>
        <w:tblPrEx>
          <w:tblCellMar>
            <w:top w:w="0" w:type="dxa"/>
            <w:left w:w="0" w:type="dxa"/>
            <w:bottom w:w="0" w:type="dxa"/>
            <w:right w:w="0" w:type="dxa"/>
          </w:tblCellMar>
        </w:tblPrEx>
        <w:trPr>
          <w:trHeight w:val="578" w:hRule="atLeast"/>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w:t>
            </w:r>
          </w:p>
        </w:tc>
        <w:tc>
          <w:tcPr>
            <w:tcW w:w="159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电池柜</w:t>
            </w:r>
          </w:p>
        </w:tc>
        <w:tc>
          <w:tcPr>
            <w:tcW w:w="798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冷轧钢板，A16标准规格，尺寸780*455*1360MM</w:t>
            </w:r>
          </w:p>
        </w:tc>
        <w:tc>
          <w:tcPr>
            <w:tcW w:w="12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w:t>
            </w:r>
            <w:r>
              <w:rPr>
                <w:rFonts w:hint="eastAsia" w:ascii="宋体" w:hAnsi="宋体" w:cs="宋体"/>
                <w:color w:val="000000"/>
                <w:sz w:val="18"/>
                <w:szCs w:val="18"/>
              </w:rPr>
              <w:t xml:space="preserve"> </w:t>
            </w:r>
          </w:p>
        </w:tc>
        <w:tc>
          <w:tcPr>
            <w:tcW w:w="2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套</w:t>
            </w:r>
          </w:p>
        </w:tc>
      </w:tr>
      <w:tr>
        <w:tblPrEx>
          <w:tblCellMar>
            <w:top w:w="0" w:type="dxa"/>
            <w:left w:w="0" w:type="dxa"/>
            <w:bottom w:w="0" w:type="dxa"/>
            <w:right w:w="0" w:type="dxa"/>
          </w:tblCellMar>
        </w:tblPrEx>
        <w:trPr>
          <w:trHeight w:val="1252" w:hRule="atLeast"/>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w:t>
            </w:r>
          </w:p>
        </w:tc>
        <w:tc>
          <w:tcPr>
            <w:tcW w:w="159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配电箱（含配套电缆线）</w:t>
            </w:r>
          </w:p>
        </w:tc>
        <w:tc>
          <w:tcPr>
            <w:tcW w:w="798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18"/>
                <w:szCs w:val="18"/>
              </w:rPr>
            </w:pPr>
          </w:p>
        </w:tc>
        <w:tc>
          <w:tcPr>
            <w:tcW w:w="12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w:t>
            </w:r>
            <w:r>
              <w:rPr>
                <w:rFonts w:hint="eastAsia" w:ascii="宋体" w:hAnsi="宋体" w:cs="宋体"/>
                <w:color w:val="000000"/>
                <w:sz w:val="18"/>
                <w:szCs w:val="18"/>
              </w:rPr>
              <w:t xml:space="preserve"> </w:t>
            </w:r>
          </w:p>
        </w:tc>
        <w:tc>
          <w:tcPr>
            <w:tcW w:w="2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套</w:t>
            </w:r>
          </w:p>
        </w:tc>
      </w:tr>
    </w:tbl>
    <w:p>
      <w:pPr>
        <w:spacing w:line="400" w:lineRule="exact"/>
        <w:ind w:firstLine="482" w:firstLineChars="200"/>
        <w:rPr>
          <w:rFonts w:ascii="宋体" w:hAnsi="宋体"/>
          <w:b/>
          <w:sz w:val="24"/>
        </w:rPr>
      </w:pPr>
    </w:p>
    <w:p>
      <w:pPr>
        <w:spacing w:line="400" w:lineRule="exact"/>
        <w:ind w:firstLine="482" w:firstLineChars="200"/>
        <w:rPr>
          <w:rFonts w:ascii="宋体" w:hAnsi="宋体"/>
          <w:b/>
          <w:sz w:val="24"/>
        </w:rPr>
      </w:pPr>
    </w:p>
    <w:p>
      <w:pPr>
        <w:spacing w:line="400" w:lineRule="exact"/>
        <w:ind w:firstLine="482" w:firstLineChars="200"/>
        <w:rPr>
          <w:rFonts w:hint="eastAsia" w:ascii="宋体" w:hAnsi="宋体"/>
          <w:b/>
          <w:sz w:val="24"/>
        </w:rPr>
      </w:pPr>
    </w:p>
    <w:p>
      <w:pPr>
        <w:spacing w:line="400" w:lineRule="exact"/>
        <w:ind w:firstLine="482" w:firstLineChars="200"/>
        <w:rPr>
          <w:rFonts w:hint="eastAsia" w:ascii="宋体" w:hAnsi="宋体"/>
          <w:b/>
          <w:sz w:val="24"/>
        </w:rPr>
      </w:pPr>
    </w:p>
    <w:p>
      <w:pPr>
        <w:spacing w:line="400" w:lineRule="exact"/>
        <w:ind w:firstLine="482" w:firstLineChars="200"/>
        <w:rPr>
          <w:rFonts w:hint="eastAsia" w:ascii="宋体" w:hAnsi="宋体"/>
          <w:b/>
          <w:sz w:val="24"/>
        </w:rPr>
      </w:pPr>
    </w:p>
    <w:p>
      <w:pPr>
        <w:spacing w:line="400" w:lineRule="exact"/>
        <w:ind w:firstLine="482" w:firstLineChars="200"/>
        <w:rPr>
          <w:rFonts w:ascii="宋体" w:hAnsi="宋体"/>
          <w:b/>
          <w:sz w:val="24"/>
        </w:rPr>
      </w:pPr>
      <w:r>
        <w:rPr>
          <w:rFonts w:ascii="宋体" w:hAnsi="宋体"/>
          <w:b/>
          <w:sz w:val="24"/>
        </w:rPr>
        <w:t>注：</w:t>
      </w:r>
      <w:r>
        <w:rPr>
          <w:rFonts w:hint="eastAsia" w:ascii="宋体" w:hAnsi="宋体"/>
          <w:b/>
          <w:sz w:val="24"/>
          <w:highlight w:val="none"/>
        </w:rPr>
        <w:t>投标人须在投标报价中考虑本项目所有的费用。如在报价中未报、漏报、少报均按投标人已作优惠处理或在其他报价中含。</w:t>
      </w:r>
    </w:p>
    <w:p>
      <w:pPr>
        <w:snapToGrid w:val="0"/>
        <w:spacing w:line="360" w:lineRule="auto"/>
        <w:jc w:val="left"/>
        <w:rPr>
          <w:rFonts w:ascii="宋体" w:hAnsi="宋体"/>
          <w:b/>
          <w:sz w:val="24"/>
        </w:rPr>
        <w:sectPr>
          <w:pgSz w:w="16838" w:h="11906" w:orient="landscape"/>
          <w:pgMar w:top="1418" w:right="1247" w:bottom="1418" w:left="1474" w:header="851" w:footer="992" w:gutter="0"/>
          <w:cols w:space="720" w:num="1"/>
          <w:titlePg/>
          <w:docGrid w:linePitch="312" w:charSpace="0"/>
        </w:sectPr>
      </w:pPr>
    </w:p>
    <w:p>
      <w:pPr>
        <w:keepNext/>
        <w:keepLines/>
        <w:spacing w:before="260" w:after="260" w:line="416" w:lineRule="auto"/>
        <w:outlineLvl w:val="1"/>
        <w:rPr>
          <w:rFonts w:ascii="宋体" w:hAnsi="宋体"/>
          <w:b/>
          <w:bCs/>
          <w:sz w:val="24"/>
        </w:rPr>
      </w:pPr>
      <w:r>
        <w:rPr>
          <w:rFonts w:hint="eastAsia" w:ascii="宋体" w:hAnsi="宋体"/>
          <w:b/>
          <w:bCs/>
          <w:sz w:val="24"/>
        </w:rPr>
        <w:t>三、技术标准和要求</w:t>
      </w:r>
    </w:p>
    <w:p>
      <w:pPr>
        <w:spacing w:line="360" w:lineRule="auto"/>
        <w:rPr>
          <w:rFonts w:ascii="宋体" w:hAnsi="宋体" w:cs="Arial"/>
          <w:color w:val="000000"/>
          <w:sz w:val="24"/>
        </w:rPr>
      </w:pPr>
      <w:r>
        <w:rPr>
          <w:rFonts w:hint="eastAsia" w:ascii="宋体" w:hAnsi="宋体" w:cs="Arial"/>
          <w:color w:val="000000"/>
          <w:sz w:val="24"/>
        </w:rPr>
        <w:t>（一）工程实施的技术标准和规范一般规定</w:t>
      </w:r>
    </w:p>
    <w:p>
      <w:pPr>
        <w:spacing w:line="360" w:lineRule="auto"/>
        <w:rPr>
          <w:rFonts w:ascii="宋体" w:hAnsi="宋体" w:cs="Arial"/>
          <w:color w:val="000000"/>
          <w:sz w:val="24"/>
        </w:rPr>
      </w:pPr>
      <w:r>
        <w:rPr>
          <w:rFonts w:hint="eastAsia" w:ascii="宋体" w:hAnsi="宋体" w:cs="Arial"/>
          <w:color w:val="000000"/>
          <w:sz w:val="24"/>
        </w:rPr>
        <w:t>1、除本技术要求另有规定外，所有材料、设备和工程的质量均应符合采购时国家和项目所在地已颁布标准、规范的相应规定和要求，其中与本技术要求不一致时以要求高的为准。</w:t>
      </w:r>
    </w:p>
    <w:p>
      <w:pPr>
        <w:spacing w:line="360" w:lineRule="auto"/>
        <w:rPr>
          <w:rFonts w:ascii="宋体" w:hAnsi="宋体" w:cs="Arial"/>
          <w:color w:val="000000"/>
          <w:sz w:val="24"/>
        </w:rPr>
      </w:pPr>
      <w:r>
        <w:rPr>
          <w:rFonts w:hint="eastAsia" w:ascii="宋体" w:hAnsi="宋体" w:cs="Arial"/>
          <w:color w:val="000000"/>
          <w:sz w:val="24"/>
        </w:rPr>
        <w:t>2、在合同履行期间，本工程所采用的标准或规范有修改或新颁，或发包人认为有必要采用时，在报经发包人和设计单位批准后，应向承包人发出变更指令。</w:t>
      </w:r>
    </w:p>
    <w:p>
      <w:pPr>
        <w:spacing w:line="360" w:lineRule="auto"/>
        <w:rPr>
          <w:rFonts w:ascii="宋体" w:hAnsi="宋体" w:cs="Arial"/>
          <w:color w:val="000000"/>
          <w:sz w:val="24"/>
        </w:rPr>
      </w:pPr>
      <w:r>
        <w:rPr>
          <w:rFonts w:hint="eastAsia" w:ascii="宋体" w:hAnsi="宋体" w:cs="Arial"/>
          <w:color w:val="000000"/>
          <w:sz w:val="24"/>
        </w:rPr>
        <w:t>3、对本工程所采用的标准或规范的任何部分，当承包人认为改用其他标准或规范，同样能够保证工程达到相同质量或更高的质量时，承包人可提出申请报经设计单位、发包人审批后采用，但这种批准不免除承包人根据合同规定应承担的任何责任。申请报告中应对原采用的标准或规范与所建议改用的其他标准或规范之间的差异进行详细说明，并在期望监理工程师批准的日期前至少28个工作日提交。获批之前承包人仍应执行原采用的标准或规范。</w:t>
      </w:r>
    </w:p>
    <w:p>
      <w:pPr>
        <w:spacing w:line="360" w:lineRule="auto"/>
        <w:rPr>
          <w:rFonts w:ascii="宋体" w:hAnsi="宋体" w:cs="Arial"/>
          <w:color w:val="000000"/>
          <w:sz w:val="24"/>
        </w:rPr>
      </w:pPr>
      <w:r>
        <w:rPr>
          <w:rFonts w:hint="eastAsia" w:ascii="宋体" w:hAnsi="宋体" w:cs="Arial"/>
          <w:color w:val="000000"/>
          <w:sz w:val="24"/>
        </w:rPr>
        <w:t>4、除本技术条款另有规定外，承包人施工所用的材料、设备、施工工艺和工程质量的检验和验收应符合本技术条款中引用的国家和行业颁布的技术标准和规程规范规定的技术要求。</w:t>
      </w:r>
    </w:p>
    <w:p>
      <w:pPr>
        <w:spacing w:line="360" w:lineRule="auto"/>
        <w:rPr>
          <w:rFonts w:ascii="宋体" w:hAnsi="宋体" w:cs="Arial"/>
          <w:color w:val="000000"/>
          <w:sz w:val="24"/>
        </w:rPr>
      </w:pPr>
      <w:r>
        <w:rPr>
          <w:rFonts w:hint="eastAsia" w:ascii="宋体" w:hAnsi="宋体" w:cs="Arial"/>
          <w:color w:val="000000"/>
          <w:sz w:val="24"/>
        </w:rPr>
        <w:t>5、当本技术条款的内容与所引用的标准和规程规范的规定有矛盾时，应以指示为准。</w:t>
      </w:r>
    </w:p>
    <w:p>
      <w:pPr>
        <w:spacing w:line="360" w:lineRule="auto"/>
        <w:rPr>
          <w:rFonts w:ascii="宋体" w:hAnsi="宋体" w:cs="Arial"/>
          <w:color w:val="000000"/>
          <w:sz w:val="24"/>
        </w:rPr>
      </w:pPr>
      <w:r>
        <w:rPr>
          <w:rFonts w:hint="eastAsia" w:ascii="宋体" w:hAnsi="宋体" w:cs="Arial"/>
          <w:color w:val="000000"/>
          <w:sz w:val="24"/>
        </w:rPr>
        <w:t>6、技术条款中有关涉及工程安全的规定，必须严格遵守国家和行业的标准，遇有矛盾时应由按国家和行业标准的规定进行修正。</w:t>
      </w:r>
    </w:p>
    <w:p>
      <w:pPr>
        <w:spacing w:line="360" w:lineRule="auto"/>
        <w:rPr>
          <w:rFonts w:ascii="宋体" w:hAnsi="宋体" w:cs="Arial"/>
          <w:color w:val="000000"/>
          <w:sz w:val="24"/>
        </w:rPr>
      </w:pPr>
      <w:r>
        <w:rPr>
          <w:rFonts w:hint="eastAsia" w:ascii="宋体" w:hAnsi="宋体" w:cs="Arial"/>
          <w:color w:val="000000"/>
          <w:sz w:val="24"/>
        </w:rPr>
        <w:t>7、在施工过程中，为保证工程质量和施工进度的要求，有权指示承包人或批准承包人采用新技术和新工艺，并增补和修改技术条款的内容。其增补和修改的内容涉及变更时，应按合同条款的规定办理。</w:t>
      </w:r>
    </w:p>
    <w:p>
      <w:pPr>
        <w:spacing w:line="360" w:lineRule="auto"/>
        <w:rPr>
          <w:rFonts w:ascii="宋体" w:hAnsi="宋体" w:cs="Arial"/>
          <w:color w:val="000000"/>
          <w:sz w:val="24"/>
        </w:rPr>
      </w:pPr>
      <w:bookmarkStart w:id="6" w:name="OLE_LINK1"/>
      <w:bookmarkEnd w:id="6"/>
      <w:r>
        <w:rPr>
          <w:rFonts w:hint="eastAsia" w:ascii="宋体" w:hAnsi="宋体" w:cs="Arial"/>
          <w:color w:val="000000"/>
          <w:sz w:val="24"/>
        </w:rPr>
        <w:t>8、本采购项目采用的材料、设备、施工工艺、检验检测标准和方法、验收等均须符合本工程施工图等设计文件的要求，并按现行的国家标准、相关技术规范、相关法律法规等实施。</w:t>
      </w:r>
    </w:p>
    <w:p>
      <w:pPr>
        <w:spacing w:line="360" w:lineRule="auto"/>
        <w:rPr>
          <w:rFonts w:ascii="宋体" w:hAnsi="宋体" w:cs="Arial"/>
          <w:color w:val="000000"/>
          <w:sz w:val="24"/>
        </w:rPr>
      </w:pPr>
      <w:r>
        <w:rPr>
          <w:rFonts w:hint="eastAsia" w:ascii="宋体" w:hAnsi="宋体" w:cs="Arial"/>
          <w:color w:val="000000"/>
          <w:sz w:val="24"/>
        </w:rPr>
        <w:t>（二）、本工程施工、验收、材料的选用必须符合图纸、法律、法规相关要求和现行的相关标准、技术规范。</w:t>
      </w:r>
    </w:p>
    <w:p>
      <w:pPr>
        <w:spacing w:line="360" w:lineRule="auto"/>
        <w:rPr>
          <w:rFonts w:ascii="宋体" w:hAnsi="宋体" w:cs="Arial"/>
          <w:color w:val="000000"/>
          <w:sz w:val="24"/>
        </w:rPr>
      </w:pPr>
      <w:r>
        <w:rPr>
          <w:rFonts w:hint="eastAsia" w:ascii="宋体" w:hAnsi="宋体" w:cs="Arial"/>
          <w:color w:val="000000"/>
          <w:sz w:val="24"/>
        </w:rPr>
        <w:t>1、其他相关要求：</w:t>
      </w:r>
    </w:p>
    <w:p>
      <w:pPr>
        <w:spacing w:line="360" w:lineRule="auto"/>
        <w:rPr>
          <w:rFonts w:ascii="宋体" w:hAnsi="宋体" w:cs="Arial"/>
          <w:color w:val="000000"/>
          <w:sz w:val="24"/>
        </w:rPr>
      </w:pPr>
      <w:r>
        <w:rPr>
          <w:rFonts w:hint="eastAsia" w:ascii="宋体" w:hAnsi="宋体" w:cs="Arial"/>
          <w:color w:val="000000"/>
          <w:sz w:val="24"/>
        </w:rPr>
        <w:t>供应商须遵守施工安全管理制度以及其他相关管理制度，确保施工项目的安全、高效、顺利进行，满足</w:t>
      </w:r>
      <w:r>
        <w:rPr>
          <w:rFonts w:hint="eastAsia" w:ascii="宋体" w:hAnsi="宋体" w:cs="Arial"/>
          <w:color w:val="000000"/>
          <w:sz w:val="24"/>
          <w:lang w:val="en-US" w:eastAsia="zh-CN"/>
        </w:rPr>
        <w:t>采购人</w:t>
      </w:r>
      <w:bookmarkStart w:id="8" w:name="_GoBack"/>
      <w:bookmarkEnd w:id="8"/>
      <w:r>
        <w:rPr>
          <w:rFonts w:hint="eastAsia" w:ascii="宋体" w:hAnsi="宋体" w:cs="Arial"/>
          <w:color w:val="000000"/>
          <w:sz w:val="24"/>
        </w:rPr>
        <w:t>的日常需求，防范消防等安全事件的发生。采购人的管理部门和使用科室有权对施工项目的组织和实施进行监督、检查，并提出整改要求，但此类监督检查并不解除供应商对施工项目应负的全部责任，如供应商不按要求整改或整改后仍不符合</w:t>
      </w:r>
      <w:r>
        <w:rPr>
          <w:rFonts w:hint="eastAsia" w:ascii="宋体" w:hAnsi="宋体" w:cs="Arial"/>
          <w:color w:val="000000"/>
          <w:sz w:val="24"/>
          <w:lang w:val="en-US" w:eastAsia="zh-CN"/>
        </w:rPr>
        <w:t>采购人</w:t>
      </w:r>
      <w:r>
        <w:rPr>
          <w:rFonts w:hint="eastAsia" w:ascii="宋体" w:hAnsi="宋体" w:cs="Arial"/>
          <w:color w:val="000000"/>
          <w:sz w:val="24"/>
        </w:rPr>
        <w:t>的规定，采购人可从工程进度款或履约保证金中酌情扣罚，情节严重的，可解除合同，给采购人造成的全部损失由供应商承担，并可拒绝该供应商继续参与</w:t>
      </w:r>
      <w:r>
        <w:rPr>
          <w:rFonts w:hint="eastAsia" w:ascii="宋体" w:hAnsi="宋体" w:cs="Arial"/>
          <w:color w:val="000000"/>
          <w:sz w:val="24"/>
          <w:lang w:val="en-US" w:eastAsia="zh-CN"/>
        </w:rPr>
        <w:t>采购人的</w:t>
      </w:r>
      <w:r>
        <w:rPr>
          <w:rFonts w:hint="eastAsia" w:ascii="宋体" w:hAnsi="宋体" w:cs="Arial"/>
          <w:color w:val="000000"/>
          <w:sz w:val="24"/>
        </w:rPr>
        <w:t>其他项目的采购活动。</w:t>
      </w:r>
    </w:p>
    <w:p>
      <w:pPr>
        <w:spacing w:line="360" w:lineRule="auto"/>
        <w:rPr>
          <w:rFonts w:ascii="宋体" w:hAnsi="宋体" w:cs="Arial"/>
          <w:color w:val="000000"/>
          <w:sz w:val="24"/>
        </w:rPr>
      </w:pPr>
      <w:r>
        <w:rPr>
          <w:rFonts w:hint="eastAsia" w:ascii="宋体" w:hAnsi="宋体" w:cs="Arial"/>
          <w:color w:val="000000"/>
          <w:sz w:val="24"/>
        </w:rPr>
        <w:t>2、施工安全管理制度等相关制度将作为承包合同的附件，是承包项目必须遵守的内容之一。</w:t>
      </w:r>
    </w:p>
    <w:p>
      <w:pPr>
        <w:spacing w:line="360" w:lineRule="auto"/>
        <w:rPr>
          <w:rFonts w:ascii="宋体" w:hAnsi="宋体" w:cs="Arial"/>
          <w:color w:val="000000"/>
          <w:sz w:val="24"/>
        </w:rPr>
      </w:pPr>
      <w:r>
        <w:rPr>
          <w:rFonts w:hint="eastAsia" w:ascii="宋体" w:hAnsi="宋体" w:cs="Arial"/>
          <w:color w:val="000000"/>
          <w:sz w:val="24"/>
        </w:rPr>
        <w:t>以上与施工相关的管理要求所需要的费用包含在投标总报价中。</w:t>
      </w:r>
    </w:p>
    <w:p>
      <w:pPr>
        <w:spacing w:line="360" w:lineRule="auto"/>
        <w:rPr>
          <w:rFonts w:ascii="宋体" w:hAnsi="宋体" w:cs="Arial"/>
          <w:color w:val="000000"/>
          <w:sz w:val="24"/>
        </w:rPr>
      </w:pPr>
      <w:r>
        <w:rPr>
          <w:rFonts w:hint="eastAsia" w:ascii="宋体" w:hAnsi="宋体" w:cs="Arial"/>
          <w:color w:val="000000"/>
          <w:sz w:val="24"/>
        </w:rPr>
        <w:t>（三）、材料基本技术要求</w:t>
      </w:r>
    </w:p>
    <w:p>
      <w:pPr>
        <w:spacing w:line="360" w:lineRule="auto"/>
        <w:rPr>
          <w:rFonts w:ascii="宋体" w:hAnsi="宋体" w:cs="Arial"/>
          <w:color w:val="000000"/>
          <w:sz w:val="24"/>
        </w:rPr>
      </w:pPr>
      <w:r>
        <w:rPr>
          <w:rFonts w:hint="eastAsia" w:ascii="宋体" w:hAnsi="宋体" w:cs="Arial"/>
          <w:color w:val="000000"/>
          <w:sz w:val="24"/>
        </w:rPr>
        <w:t>1、本项目采用的一切材料设备均应满足设计文件的要求，并得到采购人认可，且必须符合国家标准和规范。</w:t>
      </w:r>
    </w:p>
    <w:p>
      <w:pPr>
        <w:spacing w:line="360" w:lineRule="auto"/>
        <w:rPr>
          <w:rFonts w:ascii="宋体" w:hAnsi="宋体" w:cs="Arial"/>
          <w:color w:val="000000"/>
          <w:sz w:val="24"/>
        </w:rPr>
      </w:pPr>
      <w:r>
        <w:rPr>
          <w:rFonts w:hint="eastAsia" w:ascii="宋体" w:hAnsi="宋体" w:cs="Arial"/>
          <w:color w:val="000000"/>
          <w:sz w:val="24"/>
        </w:rPr>
        <w:t>2、供应商成交后在材料进场前应向采购人和提交产品说明（中文）、合格证、样品、装箱单、图纸等相关资料，并得到认可。</w:t>
      </w:r>
    </w:p>
    <w:p>
      <w:pPr>
        <w:spacing w:line="360" w:lineRule="auto"/>
        <w:rPr>
          <w:rFonts w:ascii="宋体" w:hAnsi="宋体" w:cs="Arial"/>
          <w:color w:val="000000"/>
          <w:sz w:val="24"/>
        </w:rPr>
      </w:pPr>
      <w:r>
        <w:rPr>
          <w:rFonts w:hint="eastAsia" w:ascii="宋体" w:hAnsi="宋体" w:cs="Arial"/>
          <w:color w:val="000000"/>
          <w:sz w:val="24"/>
        </w:rPr>
        <w:t>3、所有由供应商采购的设备、材料，要求同类产品的不同规格尽可能采购同一个品牌，如同一品牌中没有所需规格的，与采购人协商解决。</w:t>
      </w:r>
    </w:p>
    <w:p>
      <w:pPr>
        <w:spacing w:line="360" w:lineRule="auto"/>
        <w:rPr>
          <w:rFonts w:ascii="宋体" w:hAnsi="宋体" w:cs="Arial"/>
          <w:color w:val="000000"/>
          <w:sz w:val="24"/>
        </w:rPr>
      </w:pPr>
      <w:r>
        <w:rPr>
          <w:rFonts w:hint="eastAsia" w:ascii="宋体" w:hAnsi="宋体" w:cs="Arial"/>
          <w:color w:val="000000"/>
          <w:sz w:val="24"/>
        </w:rPr>
        <w:t>4、本采购项目采用的材料、设备、施工、检验检测、验收等均须符合本工程施工图等设计文件的要求，并按现行的国家标准、相关技术规范等实施。</w:t>
      </w:r>
    </w:p>
    <w:p>
      <w:pPr>
        <w:spacing w:line="360" w:lineRule="auto"/>
        <w:rPr>
          <w:rFonts w:ascii="宋体" w:hAnsi="宋体" w:cs="Arial"/>
          <w:color w:val="000000"/>
          <w:sz w:val="24"/>
        </w:rPr>
      </w:pPr>
      <w:r>
        <w:rPr>
          <w:rFonts w:hint="eastAsia" w:ascii="宋体" w:hAnsi="宋体" w:cs="Arial"/>
          <w:color w:val="000000"/>
          <w:sz w:val="24"/>
        </w:rPr>
        <w:t>5、设备、材料选用时，供应商应考虑与</w:t>
      </w:r>
      <w:r>
        <w:rPr>
          <w:rFonts w:hint="eastAsia" w:ascii="宋体" w:hAnsi="宋体" w:cs="Arial"/>
          <w:color w:val="000000"/>
          <w:sz w:val="24"/>
          <w:lang w:val="en-US" w:eastAsia="zh-CN"/>
        </w:rPr>
        <w:t>采购人</w:t>
      </w:r>
      <w:r>
        <w:rPr>
          <w:rFonts w:hint="eastAsia" w:ascii="宋体" w:hAnsi="宋体" w:cs="Arial"/>
          <w:color w:val="000000"/>
          <w:sz w:val="24"/>
        </w:rPr>
        <w:t>现有的和在用的各类系统的具体情况，并保持统一。</w:t>
      </w:r>
    </w:p>
    <w:p>
      <w:pPr>
        <w:spacing w:line="360" w:lineRule="auto"/>
        <w:rPr>
          <w:rFonts w:ascii="宋体" w:hAnsi="宋体" w:cs="Arial"/>
          <w:color w:val="000000"/>
          <w:sz w:val="24"/>
        </w:rPr>
      </w:pPr>
    </w:p>
    <w:p>
      <w:pPr>
        <w:keepNext/>
        <w:keepLines/>
        <w:spacing w:before="260" w:after="260" w:line="416" w:lineRule="auto"/>
        <w:outlineLvl w:val="1"/>
        <w:rPr>
          <w:rFonts w:ascii="宋体" w:hAnsi="宋体"/>
          <w:b/>
          <w:bCs/>
          <w:sz w:val="24"/>
        </w:rPr>
      </w:pPr>
      <w:r>
        <w:rPr>
          <w:rFonts w:hint="eastAsia" w:ascii="宋体" w:hAnsi="宋体"/>
          <w:b/>
          <w:bCs/>
          <w:sz w:val="24"/>
        </w:rPr>
        <w:t>四、质量保证</w:t>
      </w:r>
    </w:p>
    <w:p>
      <w:pPr>
        <w:spacing w:line="360" w:lineRule="auto"/>
        <w:rPr>
          <w:rFonts w:ascii="宋体" w:hAnsi="宋体" w:cs="Arial"/>
          <w:color w:val="000000"/>
          <w:sz w:val="24"/>
        </w:rPr>
      </w:pPr>
      <w:r>
        <w:rPr>
          <w:rFonts w:hint="eastAsia" w:ascii="宋体" w:hAnsi="宋体" w:cs="Arial"/>
          <w:color w:val="000000"/>
          <w:sz w:val="24"/>
        </w:rPr>
        <w:t>自交付安装并通过验收之日起硬件设备1年质保期，软件平台2年质保期。</w:t>
      </w:r>
    </w:p>
    <w:p>
      <w:pPr>
        <w:spacing w:line="360" w:lineRule="auto"/>
        <w:rPr>
          <w:rFonts w:ascii="宋体" w:hAnsi="宋体" w:cs="Arial"/>
          <w:color w:val="000000"/>
          <w:sz w:val="24"/>
        </w:rPr>
      </w:pPr>
      <w:r>
        <w:rPr>
          <w:rFonts w:hint="eastAsia" w:ascii="宋体" w:hAnsi="宋体" w:cs="Arial"/>
          <w:color w:val="000000"/>
          <w:sz w:val="24"/>
        </w:rPr>
        <w:t>质保期内因产品本身缺陷（非人为因素）造成各种故障应由成交供应商免费技术服务和维修、更换。质保期外，投标人需提供终身的有偿维修服务。</w:t>
      </w:r>
    </w:p>
    <w:p>
      <w:pPr>
        <w:spacing w:line="360" w:lineRule="auto"/>
        <w:rPr>
          <w:rFonts w:ascii="宋体" w:hAnsi="宋体" w:cs="Arial"/>
          <w:color w:val="000000"/>
          <w:sz w:val="24"/>
        </w:rPr>
      </w:pPr>
      <w:r>
        <w:rPr>
          <w:rFonts w:hint="eastAsia" w:ascii="宋体" w:hAnsi="宋体" w:cs="Arial"/>
          <w:color w:val="000000"/>
          <w:sz w:val="24"/>
        </w:rPr>
        <w:t>在质量保证期满后，卖方仍应提供售后服务，负责货物的终身维护和备品的供应。</w:t>
      </w:r>
    </w:p>
    <w:p>
      <w:pPr>
        <w:spacing w:line="360" w:lineRule="auto"/>
        <w:rPr>
          <w:rFonts w:ascii="宋体" w:hAnsi="宋体" w:cs="Arial"/>
          <w:color w:val="000000"/>
          <w:sz w:val="24"/>
        </w:rPr>
      </w:pPr>
      <w:r>
        <w:rPr>
          <w:rFonts w:hint="eastAsia" w:ascii="宋体" w:hAnsi="宋体" w:cs="Arial"/>
          <w:color w:val="000000"/>
          <w:sz w:val="24"/>
        </w:rPr>
        <w:t>由于卖方货物质量问题，而给予买方造成重大损失，卖方应作相应的赔偿。</w:t>
      </w:r>
    </w:p>
    <w:p>
      <w:pPr>
        <w:keepNext/>
        <w:keepLines/>
        <w:spacing w:before="260" w:after="260" w:line="416" w:lineRule="auto"/>
        <w:outlineLvl w:val="1"/>
        <w:rPr>
          <w:rFonts w:ascii="宋体" w:hAnsi="宋体"/>
          <w:b/>
          <w:bCs/>
          <w:sz w:val="24"/>
        </w:rPr>
      </w:pPr>
      <w:bookmarkStart w:id="7" w:name="_Toc363065945"/>
      <w:bookmarkEnd w:id="7"/>
      <w:r>
        <w:rPr>
          <w:rFonts w:hint="eastAsia" w:ascii="宋体" w:hAnsi="宋体"/>
          <w:b/>
          <w:bCs/>
          <w:sz w:val="24"/>
        </w:rPr>
        <w:t>五、商务条款</w:t>
      </w:r>
    </w:p>
    <w:p>
      <w:pPr>
        <w:spacing w:line="360" w:lineRule="auto"/>
        <w:rPr>
          <w:rFonts w:ascii="宋体" w:hAnsi="宋体" w:cs="Arial"/>
          <w:b/>
          <w:bCs/>
          <w:color w:val="000000"/>
          <w:sz w:val="24"/>
        </w:rPr>
      </w:pPr>
      <w:r>
        <w:rPr>
          <w:rFonts w:hint="eastAsia" w:ascii="宋体" w:hAnsi="宋体" w:cs="Arial"/>
          <w:b/>
          <w:bCs/>
          <w:color w:val="000000"/>
          <w:sz w:val="24"/>
        </w:rPr>
        <w:t>1、</w:t>
      </w:r>
      <w:r>
        <w:rPr>
          <w:rFonts w:ascii="宋体" w:hAnsi="宋体" w:cs="Arial"/>
          <w:b/>
          <w:bCs/>
          <w:color w:val="000000"/>
          <w:sz w:val="24"/>
        </w:rPr>
        <w:t>付款方式</w:t>
      </w:r>
      <w:r>
        <w:rPr>
          <w:rFonts w:hint="eastAsia" w:ascii="宋体" w:hAnsi="宋体" w:cs="Arial"/>
          <w:b/>
          <w:bCs/>
          <w:color w:val="000000"/>
          <w:sz w:val="24"/>
        </w:rPr>
        <w:t>：</w:t>
      </w:r>
    </w:p>
    <w:p>
      <w:pPr>
        <w:spacing w:line="360" w:lineRule="auto"/>
        <w:ind w:firstLine="482" w:firstLineChars="200"/>
        <w:rPr>
          <w:rFonts w:ascii="宋体" w:hAnsi="宋体" w:cs="Arial"/>
          <w:b/>
          <w:bCs/>
          <w:color w:val="000000"/>
          <w:sz w:val="24"/>
        </w:rPr>
      </w:pPr>
      <w:r>
        <w:rPr>
          <w:rFonts w:hint="eastAsia" w:ascii="宋体" w:hAnsi="宋体" w:cs="Arial"/>
          <w:b/>
          <w:bCs/>
          <w:color w:val="000000"/>
          <w:sz w:val="24"/>
        </w:rPr>
        <w:t xml:space="preserve">采购人在合同签订后10个工作日内，向中标单位支付合同总价的50%作为首付款, 在货物安装调试完毕且验收合格后10个工作日内支付合同总价的45%，剩余5%为质量保证金，验收合格并交付使用满一年无质量和服务问题，10个工作日内支付（不计息）。 </w:t>
      </w:r>
    </w:p>
    <w:p>
      <w:pPr>
        <w:spacing w:line="360" w:lineRule="auto"/>
        <w:rPr>
          <w:rFonts w:ascii="宋体" w:hAnsi="宋体" w:cs="Arial"/>
          <w:color w:val="000000"/>
          <w:sz w:val="24"/>
        </w:rPr>
      </w:pPr>
      <w:r>
        <w:rPr>
          <w:rFonts w:hint="eastAsia" w:ascii="宋体" w:hAnsi="宋体" w:cs="Arial"/>
          <w:color w:val="000000"/>
          <w:sz w:val="24"/>
        </w:rPr>
        <w:t>2、</w:t>
      </w:r>
      <w:r>
        <w:rPr>
          <w:rFonts w:ascii="宋体" w:hAnsi="宋体" w:cs="Arial"/>
          <w:color w:val="000000"/>
          <w:sz w:val="24"/>
        </w:rPr>
        <w:t>售后服务</w:t>
      </w:r>
    </w:p>
    <w:p>
      <w:pPr>
        <w:spacing w:line="360" w:lineRule="auto"/>
        <w:rPr>
          <w:rFonts w:ascii="宋体" w:hAnsi="宋体" w:cs="Arial"/>
          <w:color w:val="000000"/>
          <w:sz w:val="24"/>
        </w:rPr>
      </w:pPr>
      <w:r>
        <w:rPr>
          <w:rFonts w:hint="eastAsia" w:ascii="宋体" w:hAnsi="宋体" w:cs="Arial"/>
          <w:color w:val="000000"/>
          <w:sz w:val="24"/>
        </w:rPr>
        <w:t xml:space="preserve">    质保期内如设备出现故障，接用户通知后1小时内响应，免费维修与更换缺陷部件的时间为中标人收到采购人通知后12小时内。重大问题或其它无法立刻解决的问题应在一周内解决或提出明确的解决方案，如因中标方原因不能及时修复，保修期将相应顺延。</w:t>
      </w:r>
    </w:p>
    <w:p>
      <w:pPr>
        <w:spacing w:line="360" w:lineRule="auto"/>
        <w:rPr>
          <w:rFonts w:ascii="宋体" w:hAnsi="宋体" w:cs="Arial"/>
          <w:color w:val="000000"/>
          <w:sz w:val="24"/>
        </w:rPr>
      </w:pPr>
      <w:r>
        <w:rPr>
          <w:rFonts w:hint="eastAsia" w:ascii="宋体" w:hAnsi="宋体" w:cs="Arial"/>
          <w:color w:val="000000"/>
          <w:sz w:val="24"/>
        </w:rPr>
        <w:t>3、</w:t>
      </w:r>
      <w:r>
        <w:rPr>
          <w:rFonts w:ascii="宋体" w:hAnsi="宋体" w:cs="Arial"/>
          <w:color w:val="000000"/>
          <w:sz w:val="24"/>
        </w:rPr>
        <w:t>安装调试</w:t>
      </w:r>
    </w:p>
    <w:p>
      <w:pPr>
        <w:spacing w:line="360" w:lineRule="auto"/>
        <w:rPr>
          <w:rFonts w:ascii="宋体" w:hAnsi="宋体" w:cs="Arial"/>
          <w:color w:val="000000"/>
          <w:sz w:val="24"/>
        </w:rPr>
      </w:pPr>
      <w:r>
        <w:rPr>
          <w:rFonts w:hint="eastAsia" w:ascii="宋体" w:hAnsi="宋体" w:cs="Arial"/>
          <w:color w:val="000000"/>
          <w:sz w:val="24"/>
        </w:rPr>
        <w:t>3.1</w:t>
      </w:r>
      <w:r>
        <w:rPr>
          <w:rFonts w:ascii="宋体" w:hAnsi="宋体" w:cs="Arial"/>
          <w:color w:val="000000"/>
          <w:sz w:val="24"/>
        </w:rPr>
        <w:t>安装地点：</w:t>
      </w:r>
      <w:r>
        <w:rPr>
          <w:rFonts w:hint="eastAsia" w:ascii="宋体" w:hAnsi="宋体" w:cs="Arial"/>
          <w:color w:val="000000"/>
          <w:sz w:val="24"/>
        </w:rPr>
        <w:t>指定地点</w:t>
      </w:r>
    </w:p>
    <w:p>
      <w:pPr>
        <w:spacing w:line="360" w:lineRule="auto"/>
        <w:rPr>
          <w:rFonts w:ascii="宋体" w:hAnsi="宋体" w:cs="Arial"/>
          <w:color w:val="000000"/>
          <w:sz w:val="24"/>
        </w:rPr>
      </w:pPr>
      <w:r>
        <w:rPr>
          <w:rFonts w:hint="eastAsia" w:ascii="宋体" w:hAnsi="宋体" w:cs="Arial"/>
          <w:color w:val="000000"/>
          <w:sz w:val="24"/>
        </w:rPr>
        <w:t>3.2</w:t>
      </w:r>
      <w:r>
        <w:rPr>
          <w:rFonts w:ascii="宋体" w:hAnsi="宋体" w:cs="Arial"/>
          <w:color w:val="000000"/>
          <w:sz w:val="24"/>
        </w:rPr>
        <w:t>安装完成时间：</w:t>
      </w:r>
      <w:r>
        <w:rPr>
          <w:rFonts w:hint="eastAsia" w:ascii="宋体" w:hAnsi="宋体" w:cs="Arial"/>
          <w:color w:val="000000"/>
          <w:sz w:val="24"/>
        </w:rPr>
        <w:t>设备到货后，成交方需在接到用户通知后10日内进行安装调试。</w:t>
      </w:r>
      <w:r>
        <w:rPr>
          <w:rFonts w:ascii="宋体" w:hAnsi="宋体" w:cs="Arial"/>
          <w:color w:val="000000"/>
          <w:sz w:val="24"/>
        </w:rPr>
        <w:t>如在规定的时间内由于卖方的原因不能完成安装和调试，投标方应承担由此给用户造成的损失</w:t>
      </w:r>
      <w:r>
        <w:rPr>
          <w:rFonts w:hint="eastAsia" w:ascii="宋体" w:hAnsi="宋体" w:cs="Arial"/>
          <w:color w:val="000000"/>
          <w:sz w:val="24"/>
        </w:rPr>
        <w:t>。</w:t>
      </w:r>
    </w:p>
    <w:p>
      <w:pPr>
        <w:spacing w:line="360" w:lineRule="auto"/>
        <w:rPr>
          <w:rFonts w:ascii="宋体" w:hAnsi="宋体" w:cs="Arial"/>
          <w:color w:val="000000"/>
          <w:sz w:val="24"/>
        </w:rPr>
      </w:pPr>
      <w:r>
        <w:rPr>
          <w:rFonts w:hint="eastAsia" w:ascii="宋体" w:hAnsi="宋体" w:cs="Arial"/>
          <w:color w:val="000000"/>
          <w:sz w:val="24"/>
        </w:rPr>
        <w:t>3.3</w:t>
      </w:r>
      <w:r>
        <w:rPr>
          <w:rFonts w:ascii="宋体" w:hAnsi="宋体" w:cs="Arial"/>
          <w:color w:val="000000"/>
          <w:sz w:val="24"/>
        </w:rPr>
        <w:t>安装标准：符合我国国家有关技术规范要求和技术标准。</w:t>
      </w:r>
    </w:p>
    <w:p>
      <w:pPr>
        <w:spacing w:line="360" w:lineRule="auto"/>
        <w:rPr>
          <w:rFonts w:ascii="宋体" w:hAnsi="宋体" w:cs="Arial"/>
          <w:color w:val="000000"/>
          <w:sz w:val="24"/>
        </w:rPr>
      </w:pPr>
      <w:r>
        <w:rPr>
          <w:rFonts w:hint="eastAsia" w:ascii="宋体" w:hAnsi="宋体" w:cs="Arial"/>
          <w:color w:val="000000"/>
          <w:sz w:val="24"/>
        </w:rPr>
        <w:t>3.4</w:t>
      </w:r>
      <w:r>
        <w:rPr>
          <w:rFonts w:ascii="宋体" w:hAnsi="宋体" w:cs="Arial"/>
          <w:color w:val="000000"/>
          <w:sz w:val="24"/>
        </w:rPr>
        <w:t>安装过程中发生的费用由卖方负责。</w:t>
      </w:r>
    </w:p>
    <w:p>
      <w:pPr>
        <w:spacing w:line="360" w:lineRule="auto"/>
        <w:rPr>
          <w:rFonts w:ascii="宋体" w:hAnsi="宋体" w:cs="Arial"/>
          <w:color w:val="000000"/>
          <w:sz w:val="24"/>
        </w:rPr>
      </w:pPr>
      <w:r>
        <w:rPr>
          <w:rFonts w:hint="eastAsia" w:ascii="宋体" w:hAnsi="宋体" w:cs="Arial"/>
          <w:color w:val="000000"/>
          <w:sz w:val="24"/>
        </w:rPr>
        <w:t>3.5</w:t>
      </w:r>
      <w:r>
        <w:rPr>
          <w:rFonts w:ascii="宋体" w:hAnsi="宋体" w:cs="Arial"/>
          <w:color w:val="000000"/>
          <w:sz w:val="24"/>
        </w:rPr>
        <w:t>投标商应在投标文件中提供其安装调试过程中</w:t>
      </w:r>
      <w:r>
        <w:rPr>
          <w:rFonts w:hint="eastAsia" w:ascii="宋体" w:hAnsi="宋体" w:cs="Arial"/>
          <w:color w:val="000000"/>
          <w:sz w:val="24"/>
          <w:lang w:val="en-US" w:eastAsia="zh-CN"/>
        </w:rPr>
        <w:t>采购人</w:t>
      </w:r>
      <w:r>
        <w:rPr>
          <w:rFonts w:ascii="宋体" w:hAnsi="宋体" w:cs="Arial"/>
          <w:color w:val="000000"/>
          <w:sz w:val="24"/>
        </w:rPr>
        <w:t>需配合的内容。</w:t>
      </w:r>
    </w:p>
    <w:p>
      <w:pPr>
        <w:spacing w:line="360" w:lineRule="auto"/>
        <w:rPr>
          <w:rFonts w:ascii="宋体" w:hAnsi="宋体" w:cs="Arial"/>
          <w:color w:val="000000"/>
          <w:sz w:val="24"/>
        </w:rPr>
      </w:pPr>
      <w:r>
        <w:rPr>
          <w:rFonts w:hint="eastAsia" w:ascii="宋体" w:hAnsi="宋体" w:cs="Arial"/>
          <w:color w:val="000000"/>
          <w:sz w:val="24"/>
        </w:rPr>
        <w:t>4、</w:t>
      </w:r>
      <w:r>
        <w:rPr>
          <w:rFonts w:ascii="宋体" w:hAnsi="宋体" w:cs="Arial"/>
          <w:color w:val="000000"/>
          <w:sz w:val="24"/>
        </w:rPr>
        <w:t>验收</w:t>
      </w:r>
    </w:p>
    <w:p>
      <w:pPr>
        <w:spacing w:line="360" w:lineRule="auto"/>
        <w:rPr>
          <w:rFonts w:ascii="宋体" w:hAnsi="宋体" w:cs="Arial"/>
          <w:color w:val="000000"/>
          <w:sz w:val="24"/>
        </w:rPr>
      </w:pPr>
      <w:r>
        <w:rPr>
          <w:rFonts w:hint="eastAsia" w:ascii="宋体" w:hAnsi="宋体" w:cs="Arial"/>
          <w:color w:val="000000"/>
          <w:sz w:val="24"/>
        </w:rPr>
        <w:t>4.1</w:t>
      </w:r>
      <w:r>
        <w:rPr>
          <w:rFonts w:ascii="宋体" w:hAnsi="宋体" w:cs="Arial"/>
          <w:color w:val="000000"/>
          <w:sz w:val="24"/>
        </w:rPr>
        <w:t>供货方应提供设备的有效检验文件，经买方认可后，与设备性能指标、合同内容一起作为设备验收标准。买方对设备验收合格后，双方共同签署验收合格证书并加盖公章。验收中发现设备达不到验收标准或合同规定的性能指标，卖方必须更换设备。并且赔偿由此给用户造成的损失。</w:t>
      </w:r>
    </w:p>
    <w:p>
      <w:pPr>
        <w:spacing w:line="360" w:lineRule="auto"/>
        <w:rPr>
          <w:rFonts w:ascii="宋体" w:hAnsi="宋体" w:cs="Arial"/>
          <w:color w:val="000000"/>
          <w:sz w:val="24"/>
        </w:rPr>
      </w:pPr>
      <w:r>
        <w:rPr>
          <w:rFonts w:hint="eastAsia" w:ascii="宋体" w:hAnsi="宋体" w:cs="Arial"/>
          <w:color w:val="000000"/>
          <w:sz w:val="24"/>
        </w:rPr>
        <w:t>4.2</w:t>
      </w:r>
      <w:r>
        <w:rPr>
          <w:rFonts w:ascii="宋体" w:hAnsi="宋体" w:cs="Arial"/>
          <w:color w:val="000000"/>
          <w:sz w:val="24"/>
        </w:rPr>
        <w:t>验收费用由产品投标商负担</w:t>
      </w:r>
    </w:p>
    <w:p>
      <w:pPr>
        <w:spacing w:line="360" w:lineRule="auto"/>
        <w:rPr>
          <w:rFonts w:ascii="宋体" w:hAnsi="宋体" w:cs="Arial"/>
          <w:b/>
          <w:bCs/>
          <w:color w:val="000000"/>
          <w:sz w:val="24"/>
        </w:rPr>
      </w:pPr>
      <w:r>
        <w:rPr>
          <w:rFonts w:hint="eastAsia" w:ascii="宋体" w:hAnsi="宋体" w:cs="Arial"/>
          <w:b/>
          <w:bCs/>
          <w:color w:val="000000"/>
          <w:sz w:val="24"/>
        </w:rPr>
        <w:t>5、工期</w:t>
      </w:r>
    </w:p>
    <w:p>
      <w:pPr>
        <w:spacing w:line="360" w:lineRule="auto"/>
        <w:rPr>
          <w:rFonts w:hint="eastAsia" w:ascii="宋体" w:hAnsi="宋体" w:cs="Arial"/>
          <w:b/>
          <w:bCs/>
          <w:color w:val="000000"/>
          <w:sz w:val="24"/>
        </w:rPr>
      </w:pPr>
      <w:r>
        <w:rPr>
          <w:rFonts w:hint="eastAsia" w:ascii="宋体" w:hAnsi="宋体" w:cs="Arial"/>
          <w:b/>
          <w:bCs/>
          <w:color w:val="000000"/>
          <w:sz w:val="24"/>
        </w:rPr>
        <w:t>在合同签订后，且现场满足智能设备进场条件后60日历天内供货并调试完成。</w:t>
      </w:r>
    </w:p>
    <w:p>
      <w:pPr>
        <w:spacing w:line="360" w:lineRule="auto"/>
        <w:rPr>
          <w:rFonts w:ascii="宋体" w:hAnsi="宋体" w:cs="Arial"/>
          <w:color w:val="000000"/>
          <w:sz w:val="24"/>
        </w:rPr>
      </w:pPr>
      <w:r>
        <w:rPr>
          <w:rFonts w:hint="eastAsia" w:ascii="宋体" w:hAnsi="宋体" w:cs="Arial"/>
          <w:color w:val="000000"/>
          <w:sz w:val="24"/>
        </w:rPr>
        <w:t>6、</w:t>
      </w:r>
      <w:r>
        <w:rPr>
          <w:rFonts w:ascii="宋体" w:hAnsi="宋体" w:cs="Arial"/>
          <w:color w:val="000000"/>
          <w:sz w:val="24"/>
        </w:rPr>
        <w:t>报价方式</w:t>
      </w:r>
    </w:p>
    <w:p>
      <w:pPr>
        <w:spacing w:line="360" w:lineRule="auto"/>
        <w:rPr>
          <w:rFonts w:ascii="宋体" w:hAnsi="宋体" w:cs="Arial"/>
          <w:color w:val="000000"/>
          <w:sz w:val="24"/>
        </w:rPr>
      </w:pPr>
      <w:r>
        <w:rPr>
          <w:rFonts w:ascii="宋体" w:hAnsi="宋体" w:cs="Arial"/>
          <w:color w:val="000000"/>
          <w:sz w:val="24"/>
        </w:rPr>
        <w:t>有关本项目实施所需</w:t>
      </w:r>
      <w:r>
        <w:rPr>
          <w:rFonts w:hint="eastAsia" w:ascii="宋体" w:hAnsi="宋体" w:cs="Arial"/>
          <w:color w:val="000000"/>
          <w:sz w:val="24"/>
        </w:rPr>
        <w:t>全部工作内容，包括方案设计及优化、人工、材料、设备、施工机械、安装调试、验收、系统集成、运行维护、现场培训、设备和系统的软件和硬件保修及售后服务、施工管理费</w:t>
      </w:r>
      <w:r>
        <w:rPr>
          <w:rFonts w:ascii="宋体" w:hAnsi="宋体" w:cs="Arial"/>
          <w:color w:val="000000"/>
          <w:sz w:val="24"/>
        </w:rPr>
        <w:t>和税金等所有相关费用均计入报价。</w:t>
      </w:r>
      <w:r>
        <w:rPr>
          <w:rFonts w:hint="eastAsia" w:ascii="宋体" w:hAnsi="宋体" w:cs="Arial"/>
          <w:color w:val="000000"/>
          <w:sz w:val="24"/>
        </w:rPr>
        <w:t>系统软件与</w:t>
      </w:r>
      <w:r>
        <w:rPr>
          <w:rFonts w:hint="eastAsia" w:ascii="宋体" w:hAnsi="宋体" w:cs="Arial"/>
          <w:color w:val="000000"/>
          <w:sz w:val="24"/>
          <w:lang w:val="en-US" w:eastAsia="zh-CN"/>
        </w:rPr>
        <w:t>采购人</w:t>
      </w:r>
      <w:r>
        <w:rPr>
          <w:rFonts w:hint="eastAsia" w:ascii="宋体" w:hAnsi="宋体" w:cs="Arial"/>
          <w:color w:val="000000"/>
          <w:sz w:val="24"/>
        </w:rPr>
        <w:t>原有各类相关软件接口费用均包含在投标总价中。</w:t>
      </w:r>
    </w:p>
    <w:p>
      <w:pPr>
        <w:spacing w:line="360" w:lineRule="auto"/>
        <w:rPr>
          <w:rFonts w:ascii="宋体" w:hAnsi="宋体" w:cs="Arial"/>
          <w:color w:val="000000"/>
          <w:sz w:val="24"/>
        </w:rPr>
      </w:pPr>
      <w:r>
        <w:rPr>
          <w:rFonts w:hint="eastAsia" w:ascii="宋体" w:hAnsi="宋体" w:cs="Arial"/>
          <w:color w:val="000000"/>
          <w:sz w:val="24"/>
        </w:rPr>
        <w:t>本项目为改造项目，投标人自行现场踏勘综合考虑报价。对漏报、少报者，费用自行承担。</w:t>
      </w:r>
    </w:p>
    <w:p>
      <w:pPr>
        <w:spacing w:line="360" w:lineRule="auto"/>
        <w:rPr>
          <w:rFonts w:ascii="宋体" w:hAnsi="宋体" w:cs="Arial"/>
          <w:color w:val="000000"/>
          <w:sz w:val="24"/>
        </w:rPr>
      </w:pPr>
      <w:r>
        <w:rPr>
          <w:rFonts w:hint="eastAsia" w:ascii="宋体" w:hAnsi="宋体" w:cs="Arial"/>
          <w:color w:val="000000"/>
          <w:sz w:val="24"/>
        </w:rPr>
        <w:t>7. 履约保证金</w:t>
      </w:r>
    </w:p>
    <w:p>
      <w:pPr>
        <w:spacing w:line="360" w:lineRule="auto"/>
        <w:rPr>
          <w:rFonts w:ascii="宋体" w:hAnsi="宋体" w:cs="Arial"/>
          <w:color w:val="000000"/>
          <w:sz w:val="24"/>
        </w:rPr>
      </w:pPr>
      <w:r>
        <w:rPr>
          <w:rFonts w:hint="eastAsia" w:ascii="宋体" w:hAnsi="宋体" w:cs="Arial"/>
          <w:color w:val="000000"/>
          <w:sz w:val="24"/>
        </w:rPr>
        <w:t>合同签订后3个工作日内，向招标人缴纳合同总价5％的履约保证金。项目验收达到合同规定的质量标准，1个月内无息退还。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仿宋_GB2312" w:eastAsia="仿宋_GB2312"/>
        <w:szCs w:val="24"/>
      </w:rPr>
    </w:pPr>
    <w:r>
      <w:rPr>
        <w:rFonts w:hint="eastAsia" w:ascii="仿宋_GB2312" w:eastAsia="仿宋_GB2312"/>
        <w:szCs w:val="21"/>
      </w:rPr>
      <w:t xml:space="preserve">第 </w:t>
    </w:r>
    <w:r>
      <w:rPr>
        <w:rFonts w:hint="eastAsia" w:ascii="仿宋_GB2312" w:eastAsia="仿宋_GB2312"/>
        <w:szCs w:val="21"/>
      </w:rPr>
      <w:fldChar w:fldCharType="begin"/>
    </w:r>
    <w:r>
      <w:rPr>
        <w:rFonts w:hint="eastAsia" w:ascii="仿宋_GB2312" w:eastAsia="仿宋_GB2312"/>
        <w:szCs w:val="21"/>
      </w:rPr>
      <w:instrText xml:space="preserve"> PAGE </w:instrText>
    </w:r>
    <w:r>
      <w:rPr>
        <w:rFonts w:hint="eastAsia" w:ascii="仿宋_GB2312" w:eastAsia="仿宋_GB2312"/>
        <w:szCs w:val="21"/>
      </w:rPr>
      <w:fldChar w:fldCharType="separate"/>
    </w:r>
    <w:r>
      <w:rPr>
        <w:rFonts w:ascii="仿宋_GB2312" w:eastAsia="仿宋_GB2312"/>
        <w:szCs w:val="21"/>
      </w:rPr>
      <w:t>55</w:t>
    </w:r>
    <w:r>
      <w:rPr>
        <w:rFonts w:hint="eastAsia" w:ascii="仿宋_GB2312" w:eastAsia="仿宋_GB2312"/>
        <w:szCs w:val="21"/>
      </w:rPr>
      <w:fldChar w:fldCharType="end"/>
    </w:r>
    <w:r>
      <w:rPr>
        <w:rFonts w:hint="eastAsia" w:ascii="仿宋_GB2312" w:eastAsia="仿宋_GB2312"/>
        <w:szCs w:val="21"/>
      </w:rPr>
      <w:t xml:space="preserve"> 页 共 </w:t>
    </w:r>
    <w:r>
      <w:rPr>
        <w:rFonts w:hint="eastAsia" w:ascii="仿宋_GB2312" w:eastAsia="仿宋_GB2312"/>
        <w:szCs w:val="21"/>
      </w:rPr>
      <w:fldChar w:fldCharType="begin"/>
    </w:r>
    <w:r>
      <w:rPr>
        <w:rFonts w:hint="eastAsia" w:ascii="仿宋_GB2312" w:eastAsia="仿宋_GB2312"/>
        <w:szCs w:val="21"/>
      </w:rPr>
      <w:instrText xml:space="preserve"> NUMPAGES </w:instrText>
    </w:r>
    <w:r>
      <w:rPr>
        <w:rFonts w:hint="eastAsia" w:ascii="仿宋_GB2312" w:eastAsia="仿宋_GB2312"/>
        <w:szCs w:val="21"/>
      </w:rPr>
      <w:fldChar w:fldCharType="separate"/>
    </w:r>
    <w:r>
      <w:rPr>
        <w:rFonts w:ascii="仿宋_GB2312" w:eastAsia="仿宋_GB2312"/>
        <w:szCs w:val="21"/>
      </w:rPr>
      <w:t>82</w:t>
    </w:r>
    <w:r>
      <w:rPr>
        <w:rFonts w:hint="eastAsia" w:ascii="仿宋_GB2312" w:eastAsia="仿宋_GB2312"/>
        <w:szCs w:val="21"/>
      </w:rPr>
      <w:fldChar w:fldCharType="end"/>
    </w:r>
    <w:r>
      <w:rPr>
        <w:rFonts w:hint="eastAsia" w:ascii="仿宋_GB2312" w:eastAsia="仿宋_GB2312"/>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2"/>
      </w:rPr>
    </w:pPr>
    <w:r>
      <w:fldChar w:fldCharType="begin"/>
    </w:r>
    <w:r>
      <w:rPr>
        <w:rStyle w:val="12"/>
      </w:rPr>
      <w:instrText xml:space="preserve">PAGE  </w:instrText>
    </w:r>
    <w: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仿宋_GB2312" w:eastAsia="仿宋_GB2312"/>
      </w:rPr>
    </w:pPr>
    <w:r>
      <w:rPr>
        <w:rFonts w:hint="eastAsia" w:ascii="仿宋_GB2312" w:eastAsia="仿宋_GB2312"/>
        <w:szCs w:val="21"/>
      </w:rPr>
      <w:t xml:space="preserve">第 </w:t>
    </w:r>
    <w:r>
      <w:rPr>
        <w:rFonts w:hint="eastAsia" w:ascii="仿宋_GB2312" w:eastAsia="仿宋_GB2312"/>
        <w:szCs w:val="21"/>
      </w:rPr>
      <w:fldChar w:fldCharType="begin"/>
    </w:r>
    <w:r>
      <w:rPr>
        <w:rFonts w:hint="eastAsia" w:ascii="仿宋_GB2312" w:eastAsia="仿宋_GB2312"/>
        <w:szCs w:val="21"/>
      </w:rPr>
      <w:instrText xml:space="preserve"> PAGE </w:instrText>
    </w:r>
    <w:r>
      <w:rPr>
        <w:rFonts w:hint="eastAsia" w:ascii="仿宋_GB2312" w:eastAsia="仿宋_GB2312"/>
        <w:szCs w:val="21"/>
      </w:rPr>
      <w:fldChar w:fldCharType="separate"/>
    </w:r>
    <w:r>
      <w:rPr>
        <w:rFonts w:ascii="仿宋_GB2312" w:eastAsia="仿宋_GB2312"/>
        <w:szCs w:val="21"/>
      </w:rPr>
      <w:t>32</w:t>
    </w:r>
    <w:r>
      <w:rPr>
        <w:rFonts w:hint="eastAsia" w:ascii="仿宋_GB2312" w:eastAsia="仿宋_GB2312"/>
        <w:szCs w:val="21"/>
      </w:rPr>
      <w:fldChar w:fldCharType="end"/>
    </w:r>
    <w:r>
      <w:rPr>
        <w:rFonts w:hint="eastAsia" w:ascii="仿宋_GB2312" w:eastAsia="仿宋_GB2312"/>
        <w:szCs w:val="21"/>
      </w:rPr>
      <w:t xml:space="preserve"> 页 共 </w:t>
    </w:r>
    <w:r>
      <w:rPr>
        <w:rFonts w:hint="eastAsia" w:ascii="仿宋_GB2312" w:eastAsia="仿宋_GB2312"/>
        <w:szCs w:val="21"/>
      </w:rPr>
      <w:fldChar w:fldCharType="begin"/>
    </w:r>
    <w:r>
      <w:rPr>
        <w:rFonts w:hint="eastAsia" w:ascii="仿宋_GB2312" w:eastAsia="仿宋_GB2312"/>
        <w:szCs w:val="21"/>
      </w:rPr>
      <w:instrText xml:space="preserve"> NUMPAGES </w:instrText>
    </w:r>
    <w:r>
      <w:rPr>
        <w:rFonts w:hint="eastAsia" w:ascii="仿宋_GB2312" w:eastAsia="仿宋_GB2312"/>
        <w:szCs w:val="21"/>
      </w:rPr>
      <w:fldChar w:fldCharType="separate"/>
    </w:r>
    <w:r>
      <w:rPr>
        <w:rFonts w:ascii="仿宋_GB2312" w:eastAsia="仿宋_GB2312"/>
        <w:szCs w:val="21"/>
      </w:rPr>
      <w:t>82</w:t>
    </w:r>
    <w:r>
      <w:rPr>
        <w:rFonts w:hint="eastAsia" w:ascii="仿宋_GB2312" w:eastAsia="仿宋_GB2312"/>
        <w:szCs w:val="21"/>
      </w:rPr>
      <w:fldChar w:fldCharType="end"/>
    </w:r>
    <w:r>
      <w:rPr>
        <w:rFonts w:hint="eastAsia" w:ascii="仿宋_GB2312" w:eastAsia="仿宋_GB2312"/>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180" w:firstLineChars="100"/>
      <w:jc w:val="both"/>
      <w:rPr>
        <w:rFonts w:ascii="仿宋_GB2312" w:eastAsia="仿宋_GB2312"/>
        <w:b w:val="0"/>
        <w:i/>
        <w:iCs/>
        <w:sz w:val="18"/>
        <w:szCs w:val="18"/>
        <w:u w:val="single"/>
      </w:rPr>
    </w:pPr>
    <w:r>
      <w:rPr>
        <w:rFonts w:hint="eastAsia" w:eastAsia="仿宋_GB2312"/>
        <w:b w:val="0"/>
        <w:i/>
        <w:iCs/>
        <w:sz w:val="18"/>
        <w:szCs w:val="18"/>
        <w:u w:val="single"/>
      </w:rPr>
      <w:t xml:space="preserve">                                                                </w:t>
    </w:r>
    <w:r>
      <w:rPr>
        <w:rFonts w:hint="eastAsia" w:eastAsia="仿宋_GB2312"/>
        <w:b w:val="0"/>
        <w:i/>
        <w:iCs/>
        <w:sz w:val="18"/>
        <w:szCs w:val="18"/>
        <w:u w:val="single"/>
        <w:lang w:eastAsia="zh-CN"/>
      </w:rPr>
      <w:t xml:space="preserve">              </w:t>
    </w:r>
    <w:r>
      <w:rPr>
        <w:rFonts w:hint="eastAsia" w:eastAsia="仿宋_GB2312"/>
        <w:b w:val="0"/>
        <w:i/>
        <w:iCs/>
        <w:sz w:val="18"/>
        <w:szCs w:val="18"/>
        <w:u w:val="single"/>
      </w:rPr>
      <w:t>政府采购公开招标文件</w:t>
    </w:r>
    <w:r>
      <w:rPr>
        <w:rFonts w:hint="eastAsia"/>
        <w:b w:val="0"/>
        <w:sz w:val="18"/>
        <w:szCs w:val="18"/>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w:rPr>
        <w:rFonts w:hint="eastAsia" w:eastAsia="仿宋_GB2312"/>
        <w:i/>
        <w:iCs/>
        <w:lang w:eastAsia="zh-CN"/>
      </w:rPr>
      <w:t xml:space="preserve"> </w:t>
    </w:r>
    <w:r>
      <w:rPr>
        <w:rFonts w:hint="eastAsia" w:eastAsia="仿宋_GB2312"/>
        <w:i/>
        <w:iCs/>
      </w:rPr>
      <w:t>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49F7C3"/>
    <w:multiLevelType w:val="singleLevel"/>
    <w:tmpl w:val="E749F7C3"/>
    <w:lvl w:ilvl="0" w:tentative="0">
      <w:start w:val="1"/>
      <w:numFmt w:val="chineseCounting"/>
      <w:suff w:val="nothing"/>
      <w:lvlText w:val="%1、"/>
      <w:lvlJc w:val="left"/>
      <w:rPr>
        <w:rFonts w:hint="eastAsia"/>
      </w:rPr>
    </w:lvl>
  </w:abstractNum>
  <w:abstractNum w:abstractNumId="1">
    <w:nsid w:val="49F92B07"/>
    <w:multiLevelType w:val="multilevel"/>
    <w:tmpl w:val="49F92B07"/>
    <w:lvl w:ilvl="0" w:tentative="0">
      <w:start w:val="1"/>
      <w:numFmt w:val="decimal"/>
      <w:lvlText w:val="%1."/>
      <w:lvlJc w:val="left"/>
      <w:pPr>
        <w:tabs>
          <w:tab w:val="left" w:pos="425"/>
        </w:tabs>
        <w:ind w:left="425" w:hanging="425"/>
      </w:pPr>
    </w:lvl>
    <w:lvl w:ilvl="1" w:tentative="0">
      <w:start w:val="1"/>
      <w:numFmt w:val="decimal"/>
      <w:pStyle w:val="2"/>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pStyle w:val="3"/>
      <w:lvlText w:val="%1.%2.%3.%4."/>
      <w:lvlJc w:val="left"/>
      <w:pPr>
        <w:tabs>
          <w:tab w:val="left" w:pos="851"/>
        </w:tabs>
        <w:ind w:left="851" w:hanging="851"/>
      </w:pPr>
    </w:lvl>
    <w:lvl w:ilvl="4" w:tentative="0">
      <w:start w:val="1"/>
      <w:numFmt w:val="decimal"/>
      <w:pStyle w:val="4"/>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2">
    <w:nsid w:val="59DF4040"/>
    <w:multiLevelType w:val="singleLevel"/>
    <w:tmpl w:val="59DF4040"/>
    <w:lvl w:ilvl="0" w:tentative="0">
      <w:start w:val="1"/>
      <w:numFmt w:val="decimal"/>
      <w:lvlText w:val="%1."/>
      <w:lvlJc w:val="left"/>
      <w:pPr>
        <w:ind w:left="425" w:hanging="425"/>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D246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numPr>
        <w:ilvl w:val="1"/>
        <w:numId w:val="1"/>
      </w:numPr>
      <w:tabs>
        <w:tab w:val="clear" w:pos="567"/>
      </w:tabs>
      <w:spacing w:line="460" w:lineRule="exact"/>
      <w:ind w:left="284" w:firstLine="0"/>
      <w:outlineLvl w:val="1"/>
    </w:pPr>
    <w:rPr>
      <w:rFonts w:ascii="宋体" w:hAnsi="宋体"/>
      <w:b/>
      <w:bCs/>
      <w:kern w:val="0"/>
      <w:sz w:val="28"/>
      <w:szCs w:val="28"/>
      <w:lang w:val="zh-CN"/>
    </w:rPr>
  </w:style>
  <w:style w:type="paragraph" w:styleId="3">
    <w:name w:val="heading 4"/>
    <w:basedOn w:val="1"/>
    <w:next w:val="1"/>
    <w:qFormat/>
    <w:uiPriority w:val="0"/>
    <w:pPr>
      <w:keepNext/>
      <w:keepLines/>
      <w:numPr>
        <w:ilvl w:val="3"/>
        <w:numId w:val="1"/>
      </w:numPr>
      <w:tabs>
        <w:tab w:val="left" w:pos="864"/>
        <w:tab w:val="clear" w:pos="851"/>
      </w:tabs>
      <w:spacing w:before="280" w:after="290" w:line="376" w:lineRule="auto"/>
      <w:ind w:left="864" w:hanging="864"/>
      <w:outlineLvl w:val="3"/>
    </w:pPr>
    <w:rPr>
      <w:rFonts w:ascii="Arial" w:hAnsi="Arial" w:eastAsia="黑体"/>
      <w:b/>
      <w:bCs/>
      <w:kern w:val="0"/>
      <w:sz w:val="28"/>
      <w:szCs w:val="28"/>
      <w:lang w:val="zh-CN"/>
    </w:rPr>
  </w:style>
  <w:style w:type="paragraph" w:styleId="4">
    <w:name w:val="heading 5"/>
    <w:basedOn w:val="1"/>
    <w:next w:val="1"/>
    <w:qFormat/>
    <w:uiPriority w:val="9"/>
    <w:pPr>
      <w:keepNext/>
      <w:keepLines/>
      <w:numPr>
        <w:ilvl w:val="4"/>
        <w:numId w:val="1"/>
      </w:numPr>
      <w:tabs>
        <w:tab w:val="left" w:pos="1008"/>
        <w:tab w:val="clear" w:pos="992"/>
      </w:tabs>
      <w:spacing w:before="280" w:after="290" w:line="376" w:lineRule="auto"/>
      <w:ind w:left="1008" w:hanging="1008"/>
      <w:outlineLvl w:val="4"/>
    </w:pPr>
    <w:rPr>
      <w:b/>
      <w:bCs/>
      <w:kern w:val="0"/>
      <w:sz w:val="28"/>
      <w:szCs w:val="28"/>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5">
    <w:name w:val="Body Text"/>
    <w:basedOn w:val="1"/>
    <w:qFormat/>
    <w:uiPriority w:val="99"/>
    <w:pPr>
      <w:autoSpaceDE w:val="0"/>
      <w:autoSpaceDN w:val="0"/>
      <w:adjustRightInd w:val="0"/>
      <w:spacing w:line="360" w:lineRule="auto"/>
    </w:pPr>
    <w:rPr>
      <w:rFonts w:ascii="宋体"/>
      <w:kern w:val="0"/>
      <w:sz w:val="24"/>
      <w:szCs w:val="21"/>
      <w:lang w:val="zh-CN"/>
    </w:rPr>
  </w:style>
  <w:style w:type="paragraph" w:styleId="6">
    <w:name w:val="footer"/>
    <w:basedOn w:val="1"/>
    <w:unhideWhenUsed/>
    <w:qFormat/>
    <w:uiPriority w:val="99"/>
    <w:pPr>
      <w:tabs>
        <w:tab w:val="center" w:pos="4153"/>
        <w:tab w:val="right" w:pos="8306"/>
      </w:tabs>
      <w:snapToGrid w:val="0"/>
      <w:jc w:val="left"/>
    </w:pPr>
    <w:rPr>
      <w:kern w:val="0"/>
      <w:sz w:val="18"/>
      <w:szCs w:val="18"/>
    </w:rPr>
  </w:style>
  <w:style w:type="paragraph" w:styleId="7">
    <w:name w:val="header"/>
    <w:basedOn w:val="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8">
    <w:name w:val="Title"/>
    <w:basedOn w:val="1"/>
    <w:qFormat/>
    <w:uiPriority w:val="10"/>
    <w:pPr>
      <w:widowControl/>
      <w:overflowPunct w:val="0"/>
      <w:autoSpaceDE w:val="0"/>
      <w:autoSpaceDN w:val="0"/>
      <w:adjustRightInd w:val="0"/>
      <w:jc w:val="center"/>
      <w:textAlignment w:val="baseline"/>
    </w:pPr>
    <w:rPr>
      <w:b/>
      <w:kern w:val="0"/>
      <w:sz w:val="24"/>
      <w:szCs w:val="20"/>
      <w:lang w:val="en-GB"/>
    </w:rPr>
  </w:style>
  <w:style w:type="paragraph" w:styleId="9">
    <w:name w:val="Body Text First Indent"/>
    <w:basedOn w:val="5"/>
    <w:qFormat/>
    <w:uiPriority w:val="99"/>
    <w:pPr>
      <w:ind w:firstLine="420"/>
    </w:pPr>
  </w:style>
  <w:style w:type="character" w:styleId="12">
    <w:name w:val="page number"/>
    <w:basedOn w:val="11"/>
    <w:qFormat/>
    <w:uiPriority w:val="0"/>
  </w:style>
  <w:style w:type="paragraph" w:customStyle="1" w:styleId="13">
    <w:name w:val="正文1"/>
    <w:basedOn w:val="1"/>
    <w:qFormat/>
    <w:uiPriority w:val="0"/>
    <w:pPr>
      <w:widowControl/>
      <w:spacing w:line="360" w:lineRule="auto"/>
      <w:ind w:left="360" w:firstLine="420"/>
      <w:jc w:val="left"/>
    </w:pPr>
    <w:rPr>
      <w:rFonts w:ascii="宋体" w:hAnsi="宋体"/>
      <w:kern w:val="0"/>
      <w:sz w:val="20"/>
      <w:szCs w:val="20"/>
    </w:rPr>
  </w:style>
  <w:style w:type="paragraph" w:customStyle="1" w:styleId="14">
    <w:name w:val="列出段落1"/>
    <w:basedOn w:val="1"/>
    <w:qFormat/>
    <w:uiPriority w:val="99"/>
    <w:pPr>
      <w:ind w:firstLine="420" w:firstLineChars="200"/>
    </w:pPr>
    <w:rPr>
      <w:rFonts w:ascii="Calibri" w:hAnsi="Calibri"/>
      <w:kern w:val="0"/>
      <w:sz w:val="20"/>
      <w:szCs w:val="20"/>
    </w:rPr>
  </w:style>
  <w:style w:type="character" w:customStyle="1" w:styleId="15">
    <w:name w:val="font51"/>
    <w:basedOn w:val="11"/>
    <w:uiPriority w:val="0"/>
    <w:rPr>
      <w:rFonts w:hint="eastAsia" w:ascii="宋体" w:hAnsi="宋体" w:eastAsia="宋体" w:cs="宋体"/>
      <w:color w:val="000000"/>
      <w:sz w:val="18"/>
      <w:szCs w:val="18"/>
      <w:u w:val="none"/>
    </w:rPr>
  </w:style>
  <w:style w:type="character" w:customStyle="1" w:styleId="16">
    <w:name w:val="font31"/>
    <w:basedOn w:val="11"/>
    <w:uiPriority w:val="0"/>
    <w:rPr>
      <w:rFonts w:hint="eastAsia" w:ascii="宋体" w:hAnsi="宋体" w:eastAsia="宋体" w:cs="宋体"/>
      <w:color w:val="666666"/>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2019-12-25T07:44:02Z</dcterms:created>
  <dc:creator>han</dc:creator>
  <cp:lastModifiedBy>han</cp:lastModifiedBy>
  <dcterms:modified xsi:type="dcterms:W3CDTF">2019-12-25T07:52:16Z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