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8FD" w:rsidRPr="007A0F27" w:rsidRDefault="007908FD" w:rsidP="007908FD">
      <w:pPr>
        <w:pStyle w:val="1"/>
        <w:rPr>
          <w:rFonts w:hAnsi="宋体"/>
          <w:b w:val="0"/>
        </w:rPr>
      </w:pPr>
      <w:r w:rsidRPr="007A0F27">
        <w:rPr>
          <w:rFonts w:ascii="宋体" w:eastAsia="宋体" w:hAnsi="宋体" w:hint="eastAsia"/>
        </w:rPr>
        <w:t>招标需求</w:t>
      </w:r>
    </w:p>
    <w:p w:rsidR="007908FD" w:rsidRPr="004C584A" w:rsidRDefault="007908FD" w:rsidP="007908FD">
      <w:pPr>
        <w:pStyle w:val="a3"/>
        <w:adjustRightInd w:val="0"/>
        <w:snapToGrid w:val="0"/>
        <w:spacing w:beforeLines="50" w:line="360" w:lineRule="exact"/>
        <w:ind w:firstLine="562"/>
        <w:outlineLvl w:val="1"/>
        <w:rPr>
          <w:rFonts w:ascii="仿宋_GB2312" w:eastAsia="仿宋_GB2312" w:hAnsi="仿宋"/>
          <w:b/>
          <w:sz w:val="28"/>
          <w:szCs w:val="28"/>
        </w:rPr>
      </w:pPr>
      <w:r w:rsidRPr="004C584A">
        <w:rPr>
          <w:rFonts w:ascii="仿宋_GB2312" w:eastAsia="仿宋_GB2312" w:hAnsi="仿宋" w:hint="eastAsia"/>
          <w:b/>
          <w:sz w:val="28"/>
          <w:szCs w:val="28"/>
        </w:rPr>
        <w:t>一、项目情况</w:t>
      </w:r>
    </w:p>
    <w:p w:rsidR="007908FD" w:rsidRPr="004C584A" w:rsidRDefault="007908FD" w:rsidP="007908FD">
      <w:pPr>
        <w:pStyle w:val="a3"/>
        <w:adjustRightInd w:val="0"/>
        <w:snapToGrid w:val="0"/>
        <w:spacing w:beforeLines="50" w:line="360" w:lineRule="exact"/>
        <w:ind w:firstLine="480"/>
        <w:outlineLvl w:val="1"/>
        <w:rPr>
          <w:rFonts w:ascii="仿宋_GB2312" w:eastAsia="仿宋_GB2312" w:hAnsi="仿宋"/>
          <w:sz w:val="24"/>
          <w:szCs w:val="24"/>
        </w:rPr>
      </w:pPr>
      <w:r w:rsidRPr="0041737D">
        <w:rPr>
          <w:rFonts w:ascii="仿宋_GB2312" w:eastAsia="仿宋_GB2312" w:hAnsi="仿宋" w:hint="eastAsia"/>
          <w:sz w:val="24"/>
          <w:szCs w:val="24"/>
        </w:rPr>
        <w:t>本项目是按甲方的时间和要求，投标人应派检验人员参加招标人组织的杭州市滨江区建设工程在用起重机械安全性能进行检查。</w:t>
      </w:r>
    </w:p>
    <w:p w:rsidR="007908FD" w:rsidRPr="004C584A" w:rsidRDefault="007908FD" w:rsidP="007908FD">
      <w:pPr>
        <w:pStyle w:val="a3"/>
        <w:adjustRightInd w:val="0"/>
        <w:snapToGrid w:val="0"/>
        <w:spacing w:beforeLines="50" w:line="360" w:lineRule="exact"/>
        <w:ind w:firstLine="562"/>
        <w:outlineLvl w:val="1"/>
        <w:rPr>
          <w:rFonts w:ascii="仿宋_GB2312" w:eastAsia="仿宋_GB2312" w:hAnsi="仿宋"/>
          <w:b/>
          <w:sz w:val="28"/>
          <w:szCs w:val="28"/>
        </w:rPr>
      </w:pPr>
      <w:r w:rsidRPr="004C584A">
        <w:rPr>
          <w:rFonts w:ascii="仿宋_GB2312" w:eastAsia="仿宋_GB2312" w:hAnsi="仿宋" w:hint="eastAsia"/>
          <w:b/>
          <w:sz w:val="28"/>
          <w:szCs w:val="28"/>
        </w:rPr>
        <w:t>二、服务内容</w:t>
      </w:r>
    </w:p>
    <w:p w:rsidR="007908FD" w:rsidRPr="0041737D" w:rsidRDefault="007908FD" w:rsidP="007908FD">
      <w:pPr>
        <w:pStyle w:val="a3"/>
        <w:adjustRightInd w:val="0"/>
        <w:snapToGrid w:val="0"/>
        <w:spacing w:beforeLines="50" w:line="360" w:lineRule="exact"/>
        <w:ind w:firstLine="480"/>
        <w:outlineLvl w:val="1"/>
        <w:rPr>
          <w:rFonts w:ascii="仿宋_GB2312" w:eastAsia="仿宋_GB2312" w:hAnsi="仿宋"/>
          <w:sz w:val="24"/>
          <w:szCs w:val="24"/>
        </w:rPr>
      </w:pPr>
      <w:r w:rsidRPr="0041737D">
        <w:rPr>
          <w:rFonts w:ascii="仿宋_GB2312" w:eastAsia="仿宋_GB2312" w:hAnsi="仿宋"/>
          <w:sz w:val="24"/>
          <w:szCs w:val="24"/>
        </w:rPr>
        <w:t>1</w:t>
      </w:r>
      <w:r w:rsidRPr="0041737D">
        <w:rPr>
          <w:rFonts w:ascii="仿宋_GB2312" w:eastAsia="仿宋_GB2312" w:hAnsi="仿宋" w:hint="eastAsia"/>
          <w:sz w:val="24"/>
          <w:szCs w:val="24"/>
        </w:rPr>
        <w:t>、技术服务的目标：通过适合或先进的试验仪器设备检测获得相关的数据结果。判断工程中使用的材料、成品和半成品及实体质量等是否达到标准或设计要求。</w:t>
      </w:r>
    </w:p>
    <w:p w:rsidR="007908FD" w:rsidRPr="004C584A" w:rsidRDefault="007908FD" w:rsidP="007908FD">
      <w:pPr>
        <w:pStyle w:val="a3"/>
        <w:adjustRightInd w:val="0"/>
        <w:snapToGrid w:val="0"/>
        <w:spacing w:beforeLines="50" w:line="360" w:lineRule="exact"/>
        <w:ind w:firstLine="480"/>
        <w:outlineLvl w:val="1"/>
        <w:rPr>
          <w:rFonts w:ascii="仿宋_GB2312" w:eastAsia="仿宋_GB2312" w:hAnsi="仿宋"/>
          <w:sz w:val="24"/>
          <w:szCs w:val="24"/>
        </w:rPr>
      </w:pPr>
      <w:r w:rsidRPr="0041737D">
        <w:rPr>
          <w:rFonts w:ascii="仿宋_GB2312" w:eastAsia="仿宋_GB2312" w:hAnsi="仿宋"/>
          <w:sz w:val="24"/>
          <w:szCs w:val="24"/>
        </w:rPr>
        <w:t>2</w:t>
      </w:r>
      <w:r w:rsidRPr="0041737D">
        <w:rPr>
          <w:rFonts w:ascii="仿宋_GB2312" w:eastAsia="仿宋_GB2312" w:hAnsi="仿宋" w:hint="eastAsia"/>
          <w:sz w:val="24"/>
          <w:szCs w:val="24"/>
        </w:rPr>
        <w:t>、技术服务的内容：乙方根据甲方提供的材料、成品和半成品或甲方委托的现场取样和检测等要求。按照国家和行业规范进行试验，获取相关的指标。</w:t>
      </w:r>
    </w:p>
    <w:p w:rsidR="007908FD" w:rsidRPr="004C584A" w:rsidRDefault="007908FD" w:rsidP="007908FD">
      <w:pPr>
        <w:pStyle w:val="a3"/>
        <w:adjustRightInd w:val="0"/>
        <w:snapToGrid w:val="0"/>
        <w:spacing w:beforeLines="50" w:line="360" w:lineRule="exact"/>
        <w:ind w:firstLine="562"/>
        <w:outlineLvl w:val="1"/>
        <w:rPr>
          <w:rFonts w:ascii="仿宋_GB2312" w:eastAsia="仿宋_GB2312" w:hAnsi="仿宋"/>
          <w:b/>
          <w:sz w:val="28"/>
          <w:szCs w:val="28"/>
        </w:rPr>
      </w:pPr>
      <w:r w:rsidRPr="004C584A">
        <w:rPr>
          <w:rFonts w:ascii="仿宋_GB2312" w:eastAsia="仿宋_GB2312" w:hAnsi="仿宋" w:hint="eastAsia"/>
          <w:b/>
          <w:sz w:val="28"/>
          <w:szCs w:val="28"/>
        </w:rPr>
        <w:t>三、验收方式</w:t>
      </w:r>
    </w:p>
    <w:p w:rsidR="007908FD" w:rsidRPr="004C584A" w:rsidRDefault="007908FD" w:rsidP="007908FD">
      <w:pPr>
        <w:pStyle w:val="a3"/>
        <w:adjustRightInd w:val="0"/>
        <w:snapToGrid w:val="0"/>
        <w:spacing w:beforeLines="50" w:line="360" w:lineRule="exact"/>
        <w:ind w:firstLine="480"/>
        <w:outlineLvl w:val="1"/>
        <w:rPr>
          <w:rFonts w:ascii="仿宋_GB2312" w:eastAsia="仿宋_GB2312" w:hAnsi="仿宋"/>
          <w:sz w:val="24"/>
          <w:szCs w:val="24"/>
        </w:rPr>
      </w:pPr>
      <w:r w:rsidRPr="0041737D">
        <w:rPr>
          <w:rFonts w:ascii="仿宋_GB2312" w:eastAsia="仿宋_GB2312" w:hAnsi="仿宋" w:hint="eastAsia"/>
          <w:sz w:val="24"/>
          <w:szCs w:val="24"/>
        </w:rPr>
        <w:t>★技术服务或者技术培训按</w:t>
      </w:r>
      <w:r w:rsidRPr="0041737D">
        <w:rPr>
          <w:rFonts w:ascii="仿宋_GB2312" w:eastAsia="仿宋_GB2312" w:hAnsi="仿宋"/>
          <w:sz w:val="24"/>
          <w:szCs w:val="24"/>
        </w:rPr>
        <w:t>GB/T5031-2008</w:t>
      </w:r>
      <w:r w:rsidRPr="0041737D">
        <w:rPr>
          <w:rFonts w:ascii="仿宋_GB2312" w:eastAsia="仿宋_GB2312" w:hAnsi="仿宋" w:hint="eastAsia"/>
          <w:sz w:val="24"/>
          <w:szCs w:val="24"/>
        </w:rPr>
        <w:t>、</w:t>
      </w:r>
      <w:r w:rsidRPr="0041737D">
        <w:rPr>
          <w:rFonts w:ascii="仿宋_GB2312" w:eastAsia="仿宋_GB2312" w:hAnsi="仿宋"/>
          <w:sz w:val="24"/>
          <w:szCs w:val="24"/>
        </w:rPr>
        <w:t>GB5144-2006</w:t>
      </w:r>
      <w:r w:rsidRPr="0041737D">
        <w:rPr>
          <w:rFonts w:ascii="仿宋_GB2312" w:eastAsia="仿宋_GB2312" w:hAnsi="仿宋" w:hint="eastAsia"/>
          <w:sz w:val="24"/>
          <w:szCs w:val="24"/>
        </w:rPr>
        <w:t>、</w:t>
      </w:r>
      <w:r w:rsidRPr="0041737D">
        <w:rPr>
          <w:rFonts w:ascii="仿宋_GB2312" w:eastAsia="仿宋_GB2312" w:hAnsi="仿宋"/>
          <w:sz w:val="24"/>
          <w:szCs w:val="24"/>
        </w:rPr>
        <w:t>GB/T10054-2005</w:t>
      </w:r>
      <w:r w:rsidRPr="0041737D">
        <w:rPr>
          <w:rFonts w:ascii="仿宋_GB2312" w:eastAsia="仿宋_GB2312" w:hAnsi="仿宋" w:hint="eastAsia"/>
          <w:sz w:val="24"/>
          <w:szCs w:val="24"/>
        </w:rPr>
        <w:t>、</w:t>
      </w:r>
      <w:r w:rsidRPr="0041737D">
        <w:rPr>
          <w:rFonts w:ascii="仿宋_GB2312" w:eastAsia="仿宋_GB2312" w:hAnsi="仿宋"/>
          <w:sz w:val="24"/>
          <w:szCs w:val="24"/>
        </w:rPr>
        <w:t>JB/T6061-2007</w:t>
      </w:r>
      <w:r w:rsidRPr="0041737D">
        <w:rPr>
          <w:rFonts w:ascii="仿宋_GB2312" w:eastAsia="仿宋_GB2312" w:hAnsi="仿宋" w:hint="eastAsia"/>
          <w:sz w:val="24"/>
          <w:szCs w:val="24"/>
        </w:rPr>
        <w:t>、</w:t>
      </w:r>
      <w:r w:rsidRPr="0041737D">
        <w:rPr>
          <w:rFonts w:ascii="仿宋_GB2312" w:eastAsia="仿宋_GB2312" w:hAnsi="仿宋"/>
          <w:sz w:val="24"/>
          <w:szCs w:val="24"/>
        </w:rPr>
        <w:t>GB19155-2003</w:t>
      </w:r>
      <w:r w:rsidRPr="0041737D">
        <w:rPr>
          <w:rFonts w:ascii="仿宋_GB2312" w:eastAsia="仿宋_GB2312" w:hAnsi="仿宋" w:hint="eastAsia"/>
          <w:sz w:val="24"/>
          <w:szCs w:val="24"/>
        </w:rPr>
        <w:t>等标准，采用提供报告方式验收。</w:t>
      </w:r>
    </w:p>
    <w:p w:rsidR="007908FD" w:rsidRPr="004C584A" w:rsidRDefault="007908FD" w:rsidP="007908FD">
      <w:pPr>
        <w:pStyle w:val="a3"/>
        <w:adjustRightInd w:val="0"/>
        <w:snapToGrid w:val="0"/>
        <w:spacing w:beforeLines="50" w:line="360" w:lineRule="exact"/>
        <w:ind w:firstLine="562"/>
        <w:outlineLvl w:val="1"/>
        <w:rPr>
          <w:rFonts w:ascii="仿宋_GB2312" w:eastAsia="仿宋_GB2312" w:hAnsi="仿宋"/>
          <w:b/>
          <w:sz w:val="28"/>
          <w:szCs w:val="28"/>
        </w:rPr>
      </w:pPr>
      <w:r w:rsidRPr="004C584A">
        <w:rPr>
          <w:rFonts w:ascii="仿宋_GB2312" w:eastAsia="仿宋_GB2312" w:hAnsi="仿宋" w:hint="eastAsia"/>
          <w:b/>
          <w:sz w:val="28"/>
          <w:szCs w:val="28"/>
        </w:rPr>
        <w:t>四、详细的服务要求</w:t>
      </w:r>
    </w:p>
    <w:p w:rsidR="007908FD" w:rsidRPr="0041737D" w:rsidRDefault="007908FD" w:rsidP="007908FD">
      <w:pPr>
        <w:pStyle w:val="a3"/>
        <w:adjustRightInd w:val="0"/>
        <w:snapToGrid w:val="0"/>
        <w:spacing w:beforeLines="50" w:line="360" w:lineRule="exact"/>
        <w:ind w:firstLine="482"/>
        <w:outlineLvl w:val="1"/>
        <w:rPr>
          <w:rFonts w:ascii="仿宋_GB2312" w:eastAsia="仿宋_GB2312" w:hAnsi="仿宋"/>
          <w:b/>
          <w:sz w:val="24"/>
          <w:szCs w:val="24"/>
        </w:rPr>
      </w:pPr>
      <w:r w:rsidRPr="0041737D">
        <w:rPr>
          <w:rFonts w:ascii="仿宋_GB2312" w:eastAsia="仿宋_GB2312" w:hAnsi="仿宋" w:hint="eastAsia"/>
          <w:b/>
          <w:sz w:val="24"/>
          <w:szCs w:val="24"/>
        </w:rPr>
        <w:t>检测数量清单及内容</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551"/>
        <w:gridCol w:w="2410"/>
        <w:gridCol w:w="2268"/>
        <w:gridCol w:w="1262"/>
      </w:tblGrid>
      <w:tr w:rsidR="007908FD" w:rsidRPr="0041737D" w:rsidTr="00B80C33">
        <w:trPr>
          <w:jc w:val="center"/>
        </w:trPr>
        <w:tc>
          <w:tcPr>
            <w:tcW w:w="959" w:type="dxa"/>
            <w:vAlign w:val="center"/>
          </w:tcPr>
          <w:p w:rsidR="007908FD" w:rsidRPr="005A4E30" w:rsidRDefault="007908FD" w:rsidP="007908FD">
            <w:pPr>
              <w:pStyle w:val="a3"/>
              <w:adjustRightInd w:val="0"/>
              <w:snapToGrid w:val="0"/>
              <w:spacing w:beforeLines="50" w:afterLines="50"/>
              <w:ind w:firstLineChars="0" w:firstLine="0"/>
              <w:jc w:val="center"/>
              <w:outlineLvl w:val="1"/>
              <w:rPr>
                <w:rFonts w:ascii="仿宋_GB2312" w:eastAsia="仿宋_GB2312" w:hAnsi="仿宋"/>
                <w:b/>
                <w:sz w:val="24"/>
                <w:szCs w:val="24"/>
              </w:rPr>
            </w:pPr>
            <w:r w:rsidRPr="005A4E30">
              <w:rPr>
                <w:rFonts w:ascii="仿宋_GB2312" w:eastAsia="仿宋_GB2312" w:hAnsi="仿宋" w:hint="eastAsia"/>
                <w:b/>
                <w:sz w:val="24"/>
                <w:szCs w:val="24"/>
              </w:rPr>
              <w:t>序号</w:t>
            </w:r>
          </w:p>
        </w:tc>
        <w:tc>
          <w:tcPr>
            <w:tcW w:w="2551" w:type="dxa"/>
            <w:vAlign w:val="center"/>
          </w:tcPr>
          <w:p w:rsidR="007908FD" w:rsidRPr="005A4E30" w:rsidRDefault="007908FD" w:rsidP="007908FD">
            <w:pPr>
              <w:pStyle w:val="a3"/>
              <w:adjustRightInd w:val="0"/>
              <w:snapToGrid w:val="0"/>
              <w:spacing w:beforeLines="50" w:afterLines="50"/>
              <w:ind w:firstLineChars="0" w:firstLine="0"/>
              <w:jc w:val="center"/>
              <w:outlineLvl w:val="1"/>
              <w:rPr>
                <w:rFonts w:ascii="仿宋_GB2312" w:eastAsia="仿宋_GB2312" w:hAnsi="仿宋"/>
                <w:b/>
                <w:sz w:val="24"/>
                <w:szCs w:val="24"/>
              </w:rPr>
            </w:pPr>
            <w:r w:rsidRPr="005A4E30">
              <w:rPr>
                <w:rFonts w:ascii="仿宋_GB2312" w:eastAsia="仿宋_GB2312" w:hAnsi="仿宋" w:hint="eastAsia"/>
                <w:b/>
                <w:sz w:val="24"/>
                <w:szCs w:val="24"/>
              </w:rPr>
              <w:t>检测内容</w:t>
            </w:r>
          </w:p>
        </w:tc>
        <w:tc>
          <w:tcPr>
            <w:tcW w:w="2410" w:type="dxa"/>
            <w:vAlign w:val="center"/>
          </w:tcPr>
          <w:p w:rsidR="007908FD" w:rsidRPr="005A4E30" w:rsidRDefault="007908FD" w:rsidP="007908FD">
            <w:pPr>
              <w:pStyle w:val="a3"/>
              <w:adjustRightInd w:val="0"/>
              <w:snapToGrid w:val="0"/>
              <w:spacing w:beforeLines="50" w:afterLines="50"/>
              <w:ind w:firstLineChars="0" w:firstLine="0"/>
              <w:jc w:val="center"/>
              <w:outlineLvl w:val="1"/>
              <w:rPr>
                <w:rFonts w:ascii="仿宋_GB2312" w:eastAsia="仿宋_GB2312" w:hAnsi="仿宋"/>
                <w:b/>
                <w:sz w:val="24"/>
                <w:szCs w:val="24"/>
              </w:rPr>
            </w:pPr>
            <w:r w:rsidRPr="005A4E30">
              <w:rPr>
                <w:rFonts w:ascii="仿宋_GB2312" w:eastAsia="仿宋_GB2312" w:hAnsi="仿宋" w:hint="eastAsia"/>
                <w:b/>
                <w:sz w:val="24"/>
                <w:szCs w:val="24"/>
              </w:rPr>
              <w:t>数量</w:t>
            </w:r>
          </w:p>
        </w:tc>
        <w:tc>
          <w:tcPr>
            <w:tcW w:w="2268" w:type="dxa"/>
            <w:vAlign w:val="center"/>
          </w:tcPr>
          <w:p w:rsidR="007908FD" w:rsidRPr="005A4E30" w:rsidRDefault="007908FD" w:rsidP="007908FD">
            <w:pPr>
              <w:pStyle w:val="a3"/>
              <w:adjustRightInd w:val="0"/>
              <w:snapToGrid w:val="0"/>
              <w:spacing w:beforeLines="50" w:afterLines="50"/>
              <w:ind w:firstLineChars="0" w:firstLine="0"/>
              <w:jc w:val="center"/>
              <w:outlineLvl w:val="1"/>
              <w:rPr>
                <w:rFonts w:ascii="仿宋_GB2312" w:eastAsia="仿宋_GB2312" w:hAnsi="仿宋"/>
                <w:b/>
                <w:sz w:val="24"/>
                <w:szCs w:val="24"/>
              </w:rPr>
            </w:pPr>
            <w:r w:rsidRPr="005A4E30">
              <w:rPr>
                <w:rFonts w:ascii="仿宋_GB2312" w:eastAsia="仿宋_GB2312" w:hAnsi="仿宋" w:hint="eastAsia"/>
                <w:b/>
                <w:sz w:val="24"/>
                <w:szCs w:val="24"/>
              </w:rPr>
              <w:t>投标限价</w:t>
            </w:r>
          </w:p>
        </w:tc>
        <w:tc>
          <w:tcPr>
            <w:tcW w:w="1262" w:type="dxa"/>
            <w:vAlign w:val="center"/>
          </w:tcPr>
          <w:p w:rsidR="007908FD" w:rsidRPr="005A4E30" w:rsidRDefault="007908FD" w:rsidP="007908FD">
            <w:pPr>
              <w:pStyle w:val="a3"/>
              <w:adjustRightInd w:val="0"/>
              <w:snapToGrid w:val="0"/>
              <w:spacing w:beforeLines="50" w:afterLines="50"/>
              <w:ind w:firstLineChars="0" w:firstLine="0"/>
              <w:jc w:val="center"/>
              <w:outlineLvl w:val="1"/>
              <w:rPr>
                <w:rFonts w:ascii="仿宋_GB2312" w:eastAsia="仿宋_GB2312" w:hAnsi="仿宋"/>
                <w:b/>
                <w:sz w:val="24"/>
                <w:szCs w:val="24"/>
              </w:rPr>
            </w:pPr>
            <w:r w:rsidRPr="005A4E30">
              <w:rPr>
                <w:rFonts w:ascii="仿宋_GB2312" w:eastAsia="仿宋_GB2312" w:hAnsi="仿宋" w:hint="eastAsia"/>
                <w:b/>
                <w:sz w:val="24"/>
                <w:szCs w:val="24"/>
              </w:rPr>
              <w:t>备注</w:t>
            </w:r>
          </w:p>
        </w:tc>
      </w:tr>
      <w:tr w:rsidR="007908FD" w:rsidTr="00B80C33">
        <w:trPr>
          <w:jc w:val="center"/>
        </w:trPr>
        <w:tc>
          <w:tcPr>
            <w:tcW w:w="959" w:type="dxa"/>
            <w:vAlign w:val="center"/>
          </w:tcPr>
          <w:p w:rsidR="007908FD" w:rsidRPr="005A4E30" w:rsidRDefault="007908FD" w:rsidP="007908FD">
            <w:pPr>
              <w:pStyle w:val="a3"/>
              <w:adjustRightInd w:val="0"/>
              <w:snapToGrid w:val="0"/>
              <w:spacing w:beforeLines="50" w:afterLines="50"/>
              <w:ind w:firstLineChars="0" w:firstLine="0"/>
              <w:jc w:val="center"/>
              <w:outlineLvl w:val="1"/>
              <w:rPr>
                <w:rFonts w:ascii="仿宋_GB2312" w:eastAsia="仿宋_GB2312" w:hAnsi="仿宋"/>
                <w:sz w:val="24"/>
                <w:szCs w:val="24"/>
              </w:rPr>
            </w:pPr>
            <w:r w:rsidRPr="005A4E30">
              <w:rPr>
                <w:rFonts w:ascii="仿宋_GB2312" w:eastAsia="仿宋_GB2312" w:hAnsi="仿宋"/>
                <w:sz w:val="24"/>
                <w:szCs w:val="24"/>
              </w:rPr>
              <w:t>1</w:t>
            </w:r>
          </w:p>
        </w:tc>
        <w:tc>
          <w:tcPr>
            <w:tcW w:w="2551" w:type="dxa"/>
          </w:tcPr>
          <w:p w:rsidR="007908FD" w:rsidRPr="005A4E30" w:rsidRDefault="007908FD" w:rsidP="007908FD">
            <w:pPr>
              <w:pStyle w:val="a3"/>
              <w:adjustRightInd w:val="0"/>
              <w:snapToGrid w:val="0"/>
              <w:spacing w:beforeLines="50" w:afterLines="50"/>
              <w:ind w:firstLineChars="0" w:firstLine="0"/>
              <w:jc w:val="center"/>
              <w:outlineLvl w:val="1"/>
              <w:rPr>
                <w:rFonts w:ascii="仿宋_GB2312" w:eastAsia="仿宋_GB2312" w:hAnsi="仿宋"/>
                <w:sz w:val="24"/>
                <w:szCs w:val="24"/>
              </w:rPr>
            </w:pPr>
            <w:r w:rsidRPr="005A4E30">
              <w:rPr>
                <w:rFonts w:ascii="仿宋_GB2312" w:eastAsia="仿宋_GB2312" w:hAnsi="仿宋" w:hint="eastAsia"/>
                <w:sz w:val="24"/>
                <w:szCs w:val="24"/>
              </w:rPr>
              <w:t>塔式起重机</w:t>
            </w:r>
          </w:p>
        </w:tc>
        <w:tc>
          <w:tcPr>
            <w:tcW w:w="2410" w:type="dxa"/>
            <w:vAlign w:val="center"/>
          </w:tcPr>
          <w:p w:rsidR="007908FD" w:rsidRPr="005A4E30" w:rsidRDefault="007908FD" w:rsidP="007908FD">
            <w:pPr>
              <w:pStyle w:val="a3"/>
              <w:adjustRightInd w:val="0"/>
              <w:snapToGrid w:val="0"/>
              <w:spacing w:beforeLines="50" w:afterLines="50"/>
              <w:ind w:firstLineChars="0" w:firstLine="0"/>
              <w:jc w:val="center"/>
              <w:outlineLvl w:val="1"/>
              <w:rPr>
                <w:rFonts w:ascii="仿宋_GB2312" w:eastAsia="仿宋_GB2312" w:hAnsi="仿宋"/>
                <w:sz w:val="24"/>
                <w:szCs w:val="24"/>
              </w:rPr>
            </w:pPr>
            <w:r w:rsidRPr="005A4E30">
              <w:rPr>
                <w:rFonts w:ascii="仿宋_GB2312" w:eastAsia="仿宋_GB2312" w:hAnsi="仿宋" w:hint="eastAsia"/>
                <w:sz w:val="24"/>
                <w:szCs w:val="24"/>
              </w:rPr>
              <w:t>约</w:t>
            </w:r>
            <w:r w:rsidRPr="005A4E30">
              <w:rPr>
                <w:rFonts w:ascii="仿宋_GB2312" w:eastAsia="仿宋_GB2312" w:hAnsi="仿宋"/>
                <w:sz w:val="24"/>
                <w:szCs w:val="24"/>
              </w:rPr>
              <w:t>275</w:t>
            </w:r>
            <w:r w:rsidRPr="005A4E30">
              <w:rPr>
                <w:rFonts w:ascii="仿宋_GB2312" w:eastAsia="仿宋_GB2312" w:hAnsi="仿宋" w:hint="eastAsia"/>
                <w:sz w:val="24"/>
                <w:szCs w:val="24"/>
              </w:rPr>
              <w:t>台</w:t>
            </w:r>
          </w:p>
        </w:tc>
        <w:tc>
          <w:tcPr>
            <w:tcW w:w="2268" w:type="dxa"/>
            <w:vAlign w:val="center"/>
          </w:tcPr>
          <w:p w:rsidR="007908FD" w:rsidRPr="005A4E30" w:rsidRDefault="007908FD" w:rsidP="007908FD">
            <w:pPr>
              <w:pStyle w:val="a3"/>
              <w:adjustRightInd w:val="0"/>
              <w:snapToGrid w:val="0"/>
              <w:spacing w:beforeLines="50" w:afterLines="50"/>
              <w:ind w:firstLineChars="0" w:firstLine="0"/>
              <w:jc w:val="center"/>
              <w:outlineLvl w:val="1"/>
              <w:rPr>
                <w:rFonts w:ascii="仿宋_GB2312" w:eastAsia="仿宋_GB2312" w:hAnsi="仿宋"/>
                <w:sz w:val="24"/>
                <w:szCs w:val="24"/>
              </w:rPr>
            </w:pPr>
            <w:r w:rsidRPr="005A4E30">
              <w:rPr>
                <w:rFonts w:ascii="仿宋" w:eastAsia="仿宋" w:hAnsi="仿宋"/>
                <w:bCs/>
                <w:sz w:val="24"/>
                <w:szCs w:val="24"/>
              </w:rPr>
              <w:t>800</w:t>
            </w:r>
            <w:r w:rsidRPr="005A4E30">
              <w:rPr>
                <w:rFonts w:ascii="仿宋" w:eastAsia="仿宋" w:hAnsi="仿宋" w:hint="eastAsia"/>
                <w:bCs/>
                <w:sz w:val="24"/>
                <w:szCs w:val="24"/>
              </w:rPr>
              <w:t>元</w:t>
            </w:r>
            <w:r w:rsidRPr="005A4E30">
              <w:rPr>
                <w:rFonts w:ascii="仿宋" w:eastAsia="仿宋" w:hAnsi="仿宋"/>
                <w:bCs/>
                <w:sz w:val="24"/>
                <w:szCs w:val="24"/>
              </w:rPr>
              <w:t>/</w:t>
            </w:r>
            <w:r w:rsidRPr="005A4E30">
              <w:rPr>
                <w:rFonts w:ascii="仿宋" w:eastAsia="仿宋" w:hAnsi="仿宋" w:hint="eastAsia"/>
                <w:bCs/>
                <w:sz w:val="24"/>
                <w:szCs w:val="24"/>
              </w:rPr>
              <w:t>台</w:t>
            </w:r>
          </w:p>
        </w:tc>
        <w:tc>
          <w:tcPr>
            <w:tcW w:w="1262" w:type="dxa"/>
            <w:vAlign w:val="center"/>
          </w:tcPr>
          <w:p w:rsidR="007908FD" w:rsidRPr="005A4E30" w:rsidRDefault="007908FD" w:rsidP="007908FD">
            <w:pPr>
              <w:pStyle w:val="a3"/>
              <w:adjustRightInd w:val="0"/>
              <w:snapToGrid w:val="0"/>
              <w:spacing w:beforeLines="50" w:afterLines="50"/>
              <w:ind w:firstLineChars="0" w:firstLine="0"/>
              <w:jc w:val="center"/>
              <w:outlineLvl w:val="1"/>
              <w:rPr>
                <w:rFonts w:ascii="仿宋_GB2312" w:eastAsia="仿宋_GB2312" w:hAnsi="仿宋"/>
                <w:sz w:val="24"/>
                <w:szCs w:val="24"/>
              </w:rPr>
            </w:pPr>
          </w:p>
        </w:tc>
      </w:tr>
      <w:tr w:rsidR="007908FD" w:rsidTr="00B80C33">
        <w:trPr>
          <w:jc w:val="center"/>
        </w:trPr>
        <w:tc>
          <w:tcPr>
            <w:tcW w:w="959" w:type="dxa"/>
            <w:vAlign w:val="center"/>
          </w:tcPr>
          <w:p w:rsidR="007908FD" w:rsidRPr="005A4E30" w:rsidRDefault="007908FD" w:rsidP="007908FD">
            <w:pPr>
              <w:pStyle w:val="a3"/>
              <w:adjustRightInd w:val="0"/>
              <w:snapToGrid w:val="0"/>
              <w:spacing w:beforeLines="50" w:afterLines="50"/>
              <w:ind w:firstLineChars="0" w:firstLine="0"/>
              <w:jc w:val="center"/>
              <w:outlineLvl w:val="1"/>
              <w:rPr>
                <w:rFonts w:ascii="仿宋_GB2312" w:eastAsia="仿宋_GB2312" w:hAnsi="仿宋"/>
                <w:sz w:val="24"/>
                <w:szCs w:val="24"/>
              </w:rPr>
            </w:pPr>
            <w:r w:rsidRPr="005A4E30">
              <w:rPr>
                <w:rFonts w:ascii="仿宋_GB2312" w:eastAsia="仿宋_GB2312" w:hAnsi="仿宋"/>
                <w:sz w:val="24"/>
                <w:szCs w:val="24"/>
              </w:rPr>
              <w:t>2</w:t>
            </w:r>
          </w:p>
        </w:tc>
        <w:tc>
          <w:tcPr>
            <w:tcW w:w="2551" w:type="dxa"/>
          </w:tcPr>
          <w:p w:rsidR="007908FD" w:rsidRPr="005A4E30" w:rsidRDefault="007908FD" w:rsidP="007908FD">
            <w:pPr>
              <w:pStyle w:val="a3"/>
              <w:adjustRightInd w:val="0"/>
              <w:snapToGrid w:val="0"/>
              <w:spacing w:beforeLines="50" w:afterLines="50"/>
              <w:ind w:firstLineChars="0" w:firstLine="0"/>
              <w:jc w:val="center"/>
              <w:outlineLvl w:val="1"/>
              <w:rPr>
                <w:rFonts w:ascii="仿宋_GB2312" w:eastAsia="仿宋_GB2312" w:hAnsi="仿宋"/>
                <w:sz w:val="24"/>
                <w:szCs w:val="24"/>
              </w:rPr>
            </w:pPr>
            <w:r w:rsidRPr="005A4E30">
              <w:rPr>
                <w:rFonts w:ascii="仿宋_GB2312" w:eastAsia="仿宋_GB2312" w:hAnsi="仿宋" w:hint="eastAsia"/>
                <w:sz w:val="24"/>
                <w:szCs w:val="24"/>
              </w:rPr>
              <w:t>施工升降机</w:t>
            </w:r>
          </w:p>
        </w:tc>
        <w:tc>
          <w:tcPr>
            <w:tcW w:w="2410" w:type="dxa"/>
            <w:vAlign w:val="center"/>
          </w:tcPr>
          <w:p w:rsidR="007908FD" w:rsidRPr="005A4E30" w:rsidRDefault="007908FD" w:rsidP="007908FD">
            <w:pPr>
              <w:pStyle w:val="a3"/>
              <w:adjustRightInd w:val="0"/>
              <w:snapToGrid w:val="0"/>
              <w:spacing w:beforeLines="50" w:afterLines="50"/>
              <w:ind w:firstLineChars="0" w:firstLine="0"/>
              <w:jc w:val="center"/>
              <w:outlineLvl w:val="1"/>
              <w:rPr>
                <w:rFonts w:ascii="仿宋_GB2312" w:eastAsia="仿宋_GB2312" w:hAnsi="仿宋"/>
                <w:sz w:val="24"/>
                <w:szCs w:val="24"/>
              </w:rPr>
            </w:pPr>
            <w:r w:rsidRPr="005A4E30">
              <w:rPr>
                <w:rFonts w:ascii="仿宋_GB2312" w:eastAsia="仿宋_GB2312" w:hAnsi="仿宋" w:hint="eastAsia"/>
                <w:sz w:val="24"/>
                <w:szCs w:val="24"/>
              </w:rPr>
              <w:t>约</w:t>
            </w:r>
            <w:r w:rsidRPr="005A4E30">
              <w:rPr>
                <w:rFonts w:ascii="仿宋_GB2312" w:eastAsia="仿宋_GB2312" w:hAnsi="仿宋"/>
                <w:sz w:val="24"/>
                <w:szCs w:val="24"/>
              </w:rPr>
              <w:t>300</w:t>
            </w:r>
            <w:r w:rsidRPr="005A4E30">
              <w:rPr>
                <w:rFonts w:ascii="仿宋_GB2312" w:eastAsia="仿宋_GB2312" w:hAnsi="仿宋" w:hint="eastAsia"/>
                <w:sz w:val="24"/>
                <w:szCs w:val="24"/>
              </w:rPr>
              <w:t>台</w:t>
            </w:r>
          </w:p>
        </w:tc>
        <w:tc>
          <w:tcPr>
            <w:tcW w:w="2268" w:type="dxa"/>
            <w:vAlign w:val="center"/>
          </w:tcPr>
          <w:p w:rsidR="007908FD" w:rsidRPr="005A4E30" w:rsidRDefault="007908FD" w:rsidP="007908FD">
            <w:pPr>
              <w:pStyle w:val="a3"/>
              <w:adjustRightInd w:val="0"/>
              <w:snapToGrid w:val="0"/>
              <w:spacing w:beforeLines="50" w:afterLines="50"/>
              <w:ind w:firstLineChars="0" w:firstLine="0"/>
              <w:jc w:val="center"/>
              <w:outlineLvl w:val="1"/>
              <w:rPr>
                <w:rFonts w:ascii="仿宋_GB2312" w:eastAsia="仿宋_GB2312" w:hAnsi="仿宋"/>
                <w:b/>
                <w:sz w:val="24"/>
                <w:szCs w:val="24"/>
              </w:rPr>
            </w:pPr>
            <w:r w:rsidRPr="005A4E30">
              <w:rPr>
                <w:rFonts w:ascii="仿宋" w:eastAsia="仿宋" w:hAnsi="仿宋"/>
                <w:bCs/>
                <w:sz w:val="24"/>
                <w:szCs w:val="24"/>
              </w:rPr>
              <w:t>600</w:t>
            </w:r>
            <w:r w:rsidRPr="005A4E30">
              <w:rPr>
                <w:rFonts w:ascii="仿宋" w:eastAsia="仿宋" w:hAnsi="仿宋" w:hint="eastAsia"/>
                <w:bCs/>
                <w:sz w:val="24"/>
                <w:szCs w:val="24"/>
              </w:rPr>
              <w:t>元</w:t>
            </w:r>
            <w:r w:rsidRPr="005A4E30">
              <w:rPr>
                <w:rFonts w:ascii="仿宋" w:eastAsia="仿宋" w:hAnsi="仿宋"/>
                <w:bCs/>
                <w:sz w:val="24"/>
                <w:szCs w:val="24"/>
              </w:rPr>
              <w:t>/</w:t>
            </w:r>
            <w:r w:rsidRPr="005A4E30">
              <w:rPr>
                <w:rFonts w:ascii="仿宋" w:eastAsia="仿宋" w:hAnsi="仿宋" w:hint="eastAsia"/>
                <w:bCs/>
                <w:sz w:val="24"/>
                <w:szCs w:val="24"/>
              </w:rPr>
              <w:t>台</w:t>
            </w:r>
          </w:p>
        </w:tc>
        <w:tc>
          <w:tcPr>
            <w:tcW w:w="1262" w:type="dxa"/>
            <w:vAlign w:val="center"/>
          </w:tcPr>
          <w:p w:rsidR="007908FD" w:rsidRPr="005A4E30" w:rsidRDefault="007908FD" w:rsidP="007908FD">
            <w:pPr>
              <w:pStyle w:val="a3"/>
              <w:adjustRightInd w:val="0"/>
              <w:snapToGrid w:val="0"/>
              <w:spacing w:beforeLines="50" w:afterLines="50"/>
              <w:ind w:firstLineChars="0" w:firstLine="0"/>
              <w:jc w:val="center"/>
              <w:outlineLvl w:val="1"/>
              <w:rPr>
                <w:rFonts w:ascii="仿宋_GB2312" w:eastAsia="仿宋_GB2312" w:hAnsi="仿宋"/>
                <w:sz w:val="24"/>
                <w:szCs w:val="24"/>
              </w:rPr>
            </w:pPr>
          </w:p>
        </w:tc>
      </w:tr>
    </w:tbl>
    <w:p w:rsidR="007908FD" w:rsidRPr="0041737D" w:rsidRDefault="007908FD" w:rsidP="007908FD">
      <w:pPr>
        <w:pStyle w:val="a3"/>
        <w:adjustRightInd w:val="0"/>
        <w:snapToGrid w:val="0"/>
        <w:spacing w:beforeLines="50" w:line="360" w:lineRule="exact"/>
        <w:ind w:firstLine="480"/>
        <w:outlineLvl w:val="1"/>
        <w:rPr>
          <w:rFonts w:ascii="仿宋_GB2312" w:eastAsia="仿宋_GB2312" w:hAnsi="仿宋"/>
          <w:sz w:val="24"/>
          <w:szCs w:val="24"/>
        </w:rPr>
      </w:pPr>
      <w:r w:rsidRPr="0041737D">
        <w:rPr>
          <w:rFonts w:ascii="仿宋_GB2312" w:eastAsia="仿宋_GB2312" w:hAnsi="仿宋" w:hint="eastAsia"/>
          <w:sz w:val="24"/>
          <w:szCs w:val="24"/>
        </w:rPr>
        <w:t>★采用超声波或磁粉法对使用期限已久的起重机械主要受力构件母材或焊缝质量及材料厚度进行检测，抽检数量由甲方按现场设备情况确定。完成检验检查工作后，乙方应现场提出检查意见，并在规定的时间内出具检验报告，每台设备的无损检测要求如下：</w:t>
      </w:r>
    </w:p>
    <w:p w:rsidR="007908FD" w:rsidRPr="001A1AD5" w:rsidRDefault="007908FD" w:rsidP="007908FD">
      <w:pPr>
        <w:pStyle w:val="a3"/>
        <w:adjustRightInd w:val="0"/>
        <w:snapToGrid w:val="0"/>
        <w:spacing w:beforeLines="50" w:line="360" w:lineRule="exact"/>
        <w:ind w:firstLine="480"/>
        <w:outlineLvl w:val="1"/>
        <w:rPr>
          <w:rFonts w:ascii="仿宋_GB2312" w:eastAsia="仿宋_GB2312" w:hAnsi="仿宋"/>
          <w:sz w:val="24"/>
          <w:szCs w:val="24"/>
        </w:rPr>
      </w:pPr>
      <w:r w:rsidRPr="001A1AD5">
        <w:rPr>
          <w:rFonts w:ascii="仿宋_GB2312" w:eastAsia="仿宋_GB2312" w:hAnsi="仿宋" w:hint="eastAsia"/>
          <w:sz w:val="24"/>
          <w:szCs w:val="24"/>
        </w:rPr>
        <w:t>（</w:t>
      </w:r>
      <w:r w:rsidRPr="001A1AD5">
        <w:rPr>
          <w:rFonts w:ascii="仿宋_GB2312" w:eastAsia="仿宋_GB2312" w:hAnsi="仿宋"/>
          <w:sz w:val="24"/>
          <w:szCs w:val="24"/>
        </w:rPr>
        <w:t>1</w:t>
      </w:r>
      <w:r w:rsidRPr="001A1AD5">
        <w:rPr>
          <w:rFonts w:ascii="仿宋_GB2312" w:eastAsia="仿宋_GB2312" w:hAnsi="仿宋" w:hint="eastAsia"/>
          <w:sz w:val="24"/>
          <w:szCs w:val="24"/>
        </w:rPr>
        <w:t>）塔式起重机总检测点数：不少于</w:t>
      </w:r>
      <w:r w:rsidRPr="001A1AD5">
        <w:rPr>
          <w:rFonts w:ascii="仿宋_GB2312" w:eastAsia="仿宋_GB2312" w:hAnsi="仿宋"/>
          <w:sz w:val="24"/>
          <w:szCs w:val="24"/>
        </w:rPr>
        <w:t>15</w:t>
      </w:r>
      <w:r w:rsidRPr="001A1AD5">
        <w:rPr>
          <w:rFonts w:ascii="仿宋_GB2312" w:eastAsia="仿宋_GB2312" w:hAnsi="仿宋" w:hint="eastAsia"/>
          <w:sz w:val="24"/>
          <w:szCs w:val="24"/>
        </w:rPr>
        <w:t>点。塔身标准节、起重臂、塔帽部件作为重点检测对象，其中塔身不少于</w:t>
      </w:r>
      <w:r w:rsidRPr="001A1AD5">
        <w:rPr>
          <w:rFonts w:ascii="仿宋_GB2312" w:eastAsia="仿宋_GB2312" w:hAnsi="仿宋"/>
          <w:sz w:val="24"/>
          <w:szCs w:val="24"/>
        </w:rPr>
        <w:t>8</w:t>
      </w:r>
      <w:r w:rsidRPr="001A1AD5">
        <w:rPr>
          <w:rFonts w:ascii="仿宋_GB2312" w:eastAsia="仿宋_GB2312" w:hAnsi="仿宋" w:hint="eastAsia"/>
          <w:sz w:val="24"/>
          <w:szCs w:val="24"/>
        </w:rPr>
        <w:t>点，起重臂、塔帽不少于</w:t>
      </w:r>
      <w:r w:rsidRPr="001A1AD5">
        <w:rPr>
          <w:rFonts w:ascii="仿宋_GB2312" w:eastAsia="仿宋_GB2312" w:hAnsi="仿宋"/>
          <w:sz w:val="24"/>
          <w:szCs w:val="24"/>
        </w:rPr>
        <w:t>4</w:t>
      </w:r>
      <w:r w:rsidRPr="001A1AD5">
        <w:rPr>
          <w:rFonts w:ascii="仿宋_GB2312" w:eastAsia="仿宋_GB2312" w:hAnsi="仿宋" w:hint="eastAsia"/>
          <w:sz w:val="24"/>
          <w:szCs w:val="24"/>
        </w:rPr>
        <w:t>点。</w:t>
      </w:r>
    </w:p>
    <w:p w:rsidR="007908FD" w:rsidRPr="001A1AD5" w:rsidRDefault="007908FD" w:rsidP="007908FD">
      <w:pPr>
        <w:pStyle w:val="a3"/>
        <w:adjustRightInd w:val="0"/>
        <w:snapToGrid w:val="0"/>
        <w:spacing w:beforeLines="50" w:line="360" w:lineRule="exact"/>
        <w:ind w:firstLine="480"/>
        <w:outlineLvl w:val="1"/>
        <w:rPr>
          <w:rFonts w:ascii="仿宋_GB2312" w:eastAsia="仿宋_GB2312" w:hAnsi="仿宋"/>
          <w:sz w:val="24"/>
          <w:szCs w:val="24"/>
        </w:rPr>
      </w:pPr>
      <w:r w:rsidRPr="001A1AD5">
        <w:rPr>
          <w:rFonts w:ascii="仿宋_GB2312" w:eastAsia="仿宋_GB2312" w:hAnsi="仿宋" w:hint="eastAsia"/>
          <w:sz w:val="24"/>
          <w:szCs w:val="24"/>
        </w:rPr>
        <w:t>（</w:t>
      </w:r>
      <w:r w:rsidRPr="001A1AD5">
        <w:rPr>
          <w:rFonts w:ascii="仿宋_GB2312" w:eastAsia="仿宋_GB2312" w:hAnsi="仿宋"/>
          <w:sz w:val="24"/>
          <w:szCs w:val="24"/>
        </w:rPr>
        <w:t>2</w:t>
      </w:r>
      <w:r w:rsidRPr="001A1AD5">
        <w:rPr>
          <w:rFonts w:ascii="仿宋_GB2312" w:eastAsia="仿宋_GB2312" w:hAnsi="仿宋" w:hint="eastAsia"/>
          <w:sz w:val="24"/>
          <w:szCs w:val="24"/>
        </w:rPr>
        <w:t>）施工升降机总检测点数：不少于</w:t>
      </w:r>
      <w:r w:rsidRPr="001A1AD5">
        <w:rPr>
          <w:rFonts w:ascii="仿宋_GB2312" w:eastAsia="仿宋_GB2312" w:hAnsi="仿宋"/>
          <w:sz w:val="24"/>
          <w:szCs w:val="24"/>
        </w:rPr>
        <w:t>12</w:t>
      </w:r>
      <w:r w:rsidRPr="001A1AD5">
        <w:rPr>
          <w:rFonts w:ascii="仿宋_GB2312" w:eastAsia="仿宋_GB2312" w:hAnsi="仿宋" w:hint="eastAsia"/>
          <w:sz w:val="24"/>
          <w:szCs w:val="24"/>
        </w:rPr>
        <w:t>点。导轨架标准节、吊笼部件作为重点检测对象，其中导轨架标准节不少于</w:t>
      </w:r>
      <w:r w:rsidRPr="001A1AD5">
        <w:rPr>
          <w:rFonts w:ascii="仿宋_GB2312" w:eastAsia="仿宋_GB2312" w:hAnsi="仿宋"/>
          <w:sz w:val="24"/>
          <w:szCs w:val="24"/>
        </w:rPr>
        <w:t>8</w:t>
      </w:r>
      <w:r w:rsidRPr="001A1AD5">
        <w:rPr>
          <w:rFonts w:ascii="仿宋_GB2312" w:eastAsia="仿宋_GB2312" w:hAnsi="仿宋" w:hint="eastAsia"/>
          <w:sz w:val="24"/>
          <w:szCs w:val="24"/>
        </w:rPr>
        <w:t>点，吊笼不少于</w:t>
      </w:r>
      <w:r w:rsidRPr="001A1AD5">
        <w:rPr>
          <w:rFonts w:ascii="仿宋_GB2312" w:eastAsia="仿宋_GB2312" w:hAnsi="仿宋"/>
          <w:sz w:val="24"/>
          <w:szCs w:val="24"/>
        </w:rPr>
        <w:t>4</w:t>
      </w:r>
      <w:r w:rsidRPr="001A1AD5">
        <w:rPr>
          <w:rFonts w:ascii="仿宋_GB2312" w:eastAsia="仿宋_GB2312" w:hAnsi="仿宋" w:hint="eastAsia"/>
          <w:sz w:val="24"/>
          <w:szCs w:val="24"/>
        </w:rPr>
        <w:t>点。</w:t>
      </w:r>
    </w:p>
    <w:p w:rsidR="007908FD" w:rsidRPr="004C584A" w:rsidRDefault="007908FD" w:rsidP="007908FD">
      <w:pPr>
        <w:pStyle w:val="a3"/>
        <w:adjustRightInd w:val="0"/>
        <w:snapToGrid w:val="0"/>
        <w:spacing w:beforeLines="50" w:line="360" w:lineRule="exact"/>
        <w:ind w:firstLine="562"/>
        <w:outlineLvl w:val="1"/>
        <w:rPr>
          <w:rFonts w:ascii="仿宋_GB2312" w:eastAsia="仿宋_GB2312" w:hAnsi="仿宋"/>
          <w:b/>
          <w:sz w:val="28"/>
          <w:szCs w:val="28"/>
        </w:rPr>
      </w:pPr>
      <w:r w:rsidRPr="004C584A">
        <w:rPr>
          <w:rFonts w:ascii="仿宋_GB2312" w:eastAsia="仿宋_GB2312" w:hAnsi="仿宋" w:hint="eastAsia"/>
          <w:b/>
          <w:sz w:val="28"/>
          <w:szCs w:val="28"/>
        </w:rPr>
        <w:t>五、结算方式</w:t>
      </w:r>
    </w:p>
    <w:p w:rsidR="007908FD" w:rsidRPr="004C584A" w:rsidRDefault="007908FD" w:rsidP="007908FD">
      <w:pPr>
        <w:pStyle w:val="a3"/>
        <w:adjustRightInd w:val="0"/>
        <w:snapToGrid w:val="0"/>
        <w:spacing w:beforeLines="50" w:line="360" w:lineRule="exact"/>
        <w:ind w:firstLine="480"/>
        <w:outlineLvl w:val="1"/>
        <w:rPr>
          <w:rFonts w:ascii="仿宋_GB2312" w:eastAsia="仿宋_GB2312" w:hAnsi="仿宋"/>
          <w:sz w:val="24"/>
          <w:szCs w:val="24"/>
        </w:rPr>
      </w:pPr>
      <w:r w:rsidRPr="004C584A">
        <w:rPr>
          <w:rFonts w:ascii="仿宋_GB2312" w:eastAsia="仿宋_GB2312" w:hAnsi="仿宋" w:hint="eastAsia"/>
          <w:sz w:val="24"/>
          <w:szCs w:val="24"/>
        </w:rPr>
        <w:t>本项目采用全费用固定综合单价的方式进行招标，中标后单价不变并签订固定单价合同，工程量按实结算。综合单价包含项目实施所需要的人工、机械、材</w:t>
      </w:r>
      <w:r w:rsidRPr="004C584A">
        <w:rPr>
          <w:rFonts w:ascii="仿宋_GB2312" w:eastAsia="仿宋_GB2312" w:hAnsi="仿宋" w:hint="eastAsia"/>
          <w:sz w:val="24"/>
          <w:szCs w:val="24"/>
        </w:rPr>
        <w:lastRenderedPageBreak/>
        <w:t>料、管理费、措施费用、规费、风险费用、利润、税金及招标代理费等全部费用。</w:t>
      </w:r>
    </w:p>
    <w:p w:rsidR="007908FD" w:rsidRPr="004C584A" w:rsidRDefault="007908FD" w:rsidP="007908FD">
      <w:pPr>
        <w:pStyle w:val="a3"/>
        <w:adjustRightInd w:val="0"/>
        <w:snapToGrid w:val="0"/>
        <w:spacing w:beforeLines="50" w:line="360" w:lineRule="exact"/>
        <w:ind w:firstLine="562"/>
        <w:outlineLvl w:val="1"/>
        <w:rPr>
          <w:rFonts w:ascii="仿宋_GB2312" w:eastAsia="仿宋_GB2312" w:hAnsi="仿宋"/>
          <w:b/>
          <w:sz w:val="28"/>
          <w:szCs w:val="28"/>
        </w:rPr>
      </w:pPr>
      <w:r w:rsidRPr="004C584A">
        <w:rPr>
          <w:rFonts w:ascii="仿宋_GB2312" w:eastAsia="仿宋_GB2312" w:hAnsi="仿宋" w:hint="eastAsia"/>
          <w:b/>
          <w:sz w:val="28"/>
          <w:szCs w:val="28"/>
        </w:rPr>
        <w:t>六、入围方式及合同形式</w:t>
      </w:r>
    </w:p>
    <w:p w:rsidR="007908FD" w:rsidRPr="004C584A" w:rsidRDefault="007908FD" w:rsidP="007908FD">
      <w:pPr>
        <w:pStyle w:val="a3"/>
        <w:adjustRightInd w:val="0"/>
        <w:snapToGrid w:val="0"/>
        <w:spacing w:beforeLines="50" w:line="360" w:lineRule="exact"/>
        <w:ind w:firstLine="480"/>
        <w:outlineLvl w:val="1"/>
        <w:rPr>
          <w:rFonts w:ascii="仿宋_GB2312" w:eastAsia="仿宋_GB2312" w:hAnsi="仿宋"/>
          <w:sz w:val="24"/>
          <w:szCs w:val="24"/>
        </w:rPr>
      </w:pPr>
      <w:r w:rsidRPr="004C584A">
        <w:rPr>
          <w:rFonts w:ascii="仿宋_GB2312" w:eastAsia="仿宋_GB2312" w:hAnsi="仿宋" w:hint="eastAsia"/>
          <w:sz w:val="24"/>
          <w:szCs w:val="24"/>
        </w:rPr>
        <w:t>本项目为入围中标，根据招标文件的评分办法评审出的前两名为入围单位，和招标人签订政府采购服务协议。政府采购服务协议为单价合同，按实际发生的检验批次进行核算、支付。</w:t>
      </w:r>
    </w:p>
    <w:p w:rsidR="007908FD" w:rsidRPr="004C584A" w:rsidRDefault="007908FD" w:rsidP="007908FD">
      <w:pPr>
        <w:pStyle w:val="a3"/>
        <w:adjustRightInd w:val="0"/>
        <w:snapToGrid w:val="0"/>
        <w:spacing w:beforeLines="50" w:line="360" w:lineRule="exact"/>
        <w:ind w:firstLine="562"/>
        <w:outlineLvl w:val="1"/>
        <w:rPr>
          <w:rFonts w:ascii="仿宋_GB2312" w:eastAsia="仿宋_GB2312" w:hAnsi="仿宋"/>
          <w:b/>
          <w:sz w:val="28"/>
          <w:szCs w:val="28"/>
        </w:rPr>
      </w:pPr>
      <w:r>
        <w:rPr>
          <w:rFonts w:ascii="仿宋_GB2312" w:eastAsia="仿宋_GB2312" w:hAnsi="仿宋" w:hint="eastAsia"/>
          <w:b/>
          <w:sz w:val="28"/>
          <w:szCs w:val="28"/>
        </w:rPr>
        <w:t>七</w:t>
      </w:r>
      <w:r w:rsidRPr="004C584A">
        <w:rPr>
          <w:rFonts w:ascii="仿宋_GB2312" w:eastAsia="仿宋_GB2312" w:hAnsi="仿宋" w:hint="eastAsia"/>
          <w:b/>
          <w:sz w:val="28"/>
          <w:szCs w:val="28"/>
        </w:rPr>
        <w:t>、商务要求表</w:t>
      </w:r>
    </w:p>
    <w:tbl>
      <w:tblPr>
        <w:tblW w:w="9286"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1814"/>
        <w:gridCol w:w="7472"/>
      </w:tblGrid>
      <w:tr w:rsidR="007908FD" w:rsidRPr="007A0F27" w:rsidTr="00B80C33">
        <w:trPr>
          <w:cantSplit/>
          <w:jc w:val="center"/>
        </w:trPr>
        <w:tc>
          <w:tcPr>
            <w:tcW w:w="1814" w:type="dxa"/>
            <w:tcBorders>
              <w:top w:val="single" w:sz="4" w:space="0" w:color="auto"/>
              <w:right w:val="single" w:sz="4" w:space="0" w:color="auto"/>
            </w:tcBorders>
            <w:vAlign w:val="center"/>
          </w:tcPr>
          <w:p w:rsidR="007908FD" w:rsidRPr="007A0F27" w:rsidRDefault="007908FD" w:rsidP="007908FD">
            <w:pPr>
              <w:adjustRightInd w:val="0"/>
              <w:snapToGrid w:val="0"/>
              <w:spacing w:beforeLines="50" w:afterLines="50"/>
              <w:jc w:val="center"/>
              <w:rPr>
                <w:rFonts w:ascii="仿宋_GB2312" w:eastAsia="仿宋_GB2312" w:hAnsi="仿宋_GB2312" w:cs="仿宋_GB2312"/>
                <w:sz w:val="24"/>
                <w:szCs w:val="24"/>
              </w:rPr>
            </w:pPr>
            <w:r w:rsidRPr="007A0F27">
              <w:rPr>
                <w:rFonts w:ascii="仿宋_GB2312" w:eastAsia="仿宋_GB2312" w:hAnsi="仿宋_GB2312" w:cs="仿宋_GB2312" w:hint="eastAsia"/>
                <w:sz w:val="24"/>
                <w:szCs w:val="24"/>
              </w:rPr>
              <w:t>技术服务</w:t>
            </w:r>
          </w:p>
          <w:p w:rsidR="007908FD" w:rsidRPr="007A0F27" w:rsidRDefault="007908FD" w:rsidP="007908FD">
            <w:pPr>
              <w:adjustRightInd w:val="0"/>
              <w:snapToGrid w:val="0"/>
              <w:spacing w:beforeLines="50" w:afterLines="50"/>
              <w:jc w:val="center"/>
              <w:rPr>
                <w:rFonts w:ascii="仿宋_GB2312" w:eastAsia="仿宋_GB2312" w:hAnsi="仿宋_GB2312" w:cs="仿宋_GB2312"/>
                <w:sz w:val="24"/>
                <w:szCs w:val="24"/>
              </w:rPr>
            </w:pPr>
            <w:r w:rsidRPr="007A0F27">
              <w:rPr>
                <w:rFonts w:ascii="仿宋_GB2312" w:eastAsia="仿宋_GB2312" w:hAnsi="仿宋_GB2312" w:cs="仿宋_GB2312" w:hint="eastAsia"/>
                <w:sz w:val="24"/>
                <w:szCs w:val="24"/>
              </w:rPr>
              <w:t>要求</w:t>
            </w:r>
          </w:p>
        </w:tc>
        <w:tc>
          <w:tcPr>
            <w:tcW w:w="7472" w:type="dxa"/>
            <w:tcBorders>
              <w:top w:val="single" w:sz="4" w:space="0" w:color="auto"/>
              <w:left w:val="single" w:sz="4" w:space="0" w:color="auto"/>
            </w:tcBorders>
            <w:vAlign w:val="center"/>
          </w:tcPr>
          <w:p w:rsidR="007908FD" w:rsidRPr="007A0F27" w:rsidRDefault="007908FD" w:rsidP="007908FD">
            <w:pPr>
              <w:adjustRightInd w:val="0"/>
              <w:snapToGrid w:val="0"/>
              <w:spacing w:beforeLines="50" w:afterLines="50"/>
              <w:jc w:val="left"/>
              <w:rPr>
                <w:rFonts w:ascii="仿宋_GB2312" w:eastAsia="仿宋_GB2312" w:hAnsi="仿宋_GB2312" w:cs="仿宋_GB2312"/>
                <w:sz w:val="24"/>
                <w:szCs w:val="24"/>
              </w:rPr>
            </w:pPr>
            <w:r w:rsidRPr="007A0F27">
              <w:rPr>
                <w:rFonts w:ascii="仿宋_GB2312" w:eastAsia="仿宋_GB2312" w:hAnsi="仿宋_GB2312" w:cs="仿宋_GB2312" w:hint="eastAsia"/>
                <w:sz w:val="24"/>
                <w:szCs w:val="24"/>
              </w:rPr>
              <w:t>中标人须提供本地化服务，在杭州市区设有专业机构，配有较强的专业技术队伍，提供快速的服务响应，在接到采购单位服务指令后，能快速到达现场；如发现管理问题，招标单位有权要求中标人无条件增加或更换相关人员。</w:t>
            </w:r>
          </w:p>
        </w:tc>
      </w:tr>
      <w:tr w:rsidR="007908FD" w:rsidRPr="007A0F27" w:rsidTr="00B80C33">
        <w:trPr>
          <w:cantSplit/>
          <w:jc w:val="center"/>
        </w:trPr>
        <w:tc>
          <w:tcPr>
            <w:tcW w:w="1814" w:type="dxa"/>
            <w:tcBorders>
              <w:top w:val="single" w:sz="4" w:space="0" w:color="auto"/>
              <w:bottom w:val="single" w:sz="4" w:space="0" w:color="auto"/>
              <w:right w:val="single" w:sz="4" w:space="0" w:color="auto"/>
            </w:tcBorders>
            <w:vAlign w:val="center"/>
          </w:tcPr>
          <w:p w:rsidR="007908FD" w:rsidRPr="007A0F27" w:rsidRDefault="007908FD" w:rsidP="007908FD">
            <w:pPr>
              <w:adjustRightInd w:val="0"/>
              <w:snapToGrid w:val="0"/>
              <w:spacing w:beforeLines="50" w:afterLines="50"/>
              <w:jc w:val="center"/>
              <w:rPr>
                <w:rFonts w:ascii="仿宋_GB2312" w:eastAsia="仿宋_GB2312" w:hAnsi="仿宋_GB2312" w:cs="仿宋_GB2312"/>
                <w:sz w:val="24"/>
                <w:szCs w:val="24"/>
              </w:rPr>
            </w:pPr>
            <w:r w:rsidRPr="007A0F27">
              <w:rPr>
                <w:rFonts w:ascii="仿宋_GB2312" w:eastAsia="仿宋_GB2312" w:hAnsi="仿宋_GB2312" w:cs="仿宋_GB2312" w:hint="eastAsia"/>
                <w:sz w:val="24"/>
                <w:szCs w:val="24"/>
              </w:rPr>
              <w:t>服务期及服务地点</w:t>
            </w:r>
          </w:p>
        </w:tc>
        <w:tc>
          <w:tcPr>
            <w:tcW w:w="7472" w:type="dxa"/>
            <w:tcBorders>
              <w:top w:val="single" w:sz="4" w:space="0" w:color="auto"/>
              <w:left w:val="single" w:sz="4" w:space="0" w:color="auto"/>
              <w:bottom w:val="single" w:sz="4" w:space="0" w:color="auto"/>
            </w:tcBorders>
            <w:vAlign w:val="center"/>
          </w:tcPr>
          <w:p w:rsidR="007908FD" w:rsidRPr="00E251E8" w:rsidRDefault="007908FD" w:rsidP="007908FD">
            <w:pPr>
              <w:adjustRightInd w:val="0"/>
              <w:snapToGrid w:val="0"/>
              <w:spacing w:beforeLines="50" w:afterLines="50"/>
              <w:jc w:val="left"/>
              <w:rPr>
                <w:rFonts w:ascii="仿宋_GB2312" w:eastAsia="仿宋_GB2312" w:hAnsi="仿宋_GB2312" w:cs="仿宋_GB2312"/>
                <w:sz w:val="24"/>
                <w:szCs w:val="24"/>
              </w:rPr>
            </w:pPr>
            <w:r w:rsidRPr="00E251E8">
              <w:rPr>
                <w:rFonts w:ascii="仿宋_GB2312" w:eastAsia="仿宋_GB2312" w:hAnsi="仿宋_GB2312" w:cs="仿宋_GB2312"/>
                <w:sz w:val="24"/>
                <w:szCs w:val="24"/>
              </w:rPr>
              <w:t>1</w:t>
            </w:r>
            <w:r w:rsidRPr="00E251E8">
              <w:rPr>
                <w:rFonts w:ascii="仿宋_GB2312" w:eastAsia="仿宋_GB2312" w:hAnsi="仿宋_GB2312" w:cs="仿宋_GB2312" w:hint="eastAsia"/>
                <w:sz w:val="24"/>
                <w:szCs w:val="24"/>
              </w:rPr>
              <w:t>、本项目服务期限为：三年（合同签订至</w:t>
            </w:r>
            <w:r w:rsidRPr="00E251E8">
              <w:rPr>
                <w:rFonts w:ascii="仿宋_GB2312" w:eastAsia="仿宋_GB2312" w:hAnsi="仿宋_GB2312" w:cs="仿宋_GB2312"/>
                <w:sz w:val="24"/>
                <w:szCs w:val="24"/>
              </w:rPr>
              <w:t>2021</w:t>
            </w:r>
            <w:r w:rsidRPr="00E251E8">
              <w:rPr>
                <w:rFonts w:ascii="仿宋_GB2312" w:eastAsia="仿宋_GB2312" w:hAnsi="仿宋_GB2312" w:cs="仿宋_GB2312" w:hint="eastAsia"/>
                <w:sz w:val="24"/>
                <w:szCs w:val="24"/>
              </w:rPr>
              <w:t>年</w:t>
            </w:r>
            <w:r w:rsidRPr="00E251E8">
              <w:rPr>
                <w:rFonts w:ascii="仿宋_GB2312" w:eastAsia="仿宋_GB2312" w:hAnsi="仿宋_GB2312" w:cs="仿宋_GB2312"/>
                <w:sz w:val="24"/>
                <w:szCs w:val="24"/>
              </w:rPr>
              <w:t>12</w:t>
            </w:r>
            <w:r w:rsidRPr="00E251E8">
              <w:rPr>
                <w:rFonts w:ascii="仿宋_GB2312" w:eastAsia="仿宋_GB2312" w:hAnsi="仿宋_GB2312" w:cs="仿宋_GB2312" w:hint="eastAsia"/>
                <w:sz w:val="24"/>
                <w:szCs w:val="24"/>
              </w:rPr>
              <w:t>月</w:t>
            </w:r>
            <w:r w:rsidRPr="00E251E8">
              <w:rPr>
                <w:rFonts w:ascii="仿宋_GB2312" w:eastAsia="仿宋_GB2312" w:hAnsi="仿宋_GB2312" w:cs="仿宋_GB2312"/>
                <w:sz w:val="24"/>
                <w:szCs w:val="24"/>
              </w:rPr>
              <w:t>31</w:t>
            </w:r>
            <w:r w:rsidRPr="00E251E8">
              <w:rPr>
                <w:rFonts w:ascii="仿宋_GB2312" w:eastAsia="仿宋_GB2312" w:hAnsi="仿宋_GB2312" w:cs="仿宋_GB2312" w:hint="eastAsia"/>
                <w:sz w:val="24"/>
                <w:szCs w:val="24"/>
              </w:rPr>
              <w:t>日），合同一年一签，采购人根据上一年度投标人的服务情况来决定是否续签下一年的合同，合同额按上年度中标价执行。若在服务过程中出现重大失误或受到相关部门通报批评的，采购人有权立即终止相关服务合同。</w:t>
            </w:r>
          </w:p>
          <w:p w:rsidR="007908FD" w:rsidRPr="00E251E8" w:rsidRDefault="007908FD" w:rsidP="007908FD">
            <w:pPr>
              <w:adjustRightInd w:val="0"/>
              <w:snapToGrid w:val="0"/>
              <w:spacing w:beforeLines="50" w:afterLines="50"/>
              <w:jc w:val="left"/>
              <w:rPr>
                <w:rFonts w:ascii="仿宋_GB2312" w:eastAsia="仿宋_GB2312" w:hAnsi="仿宋_GB2312" w:cs="仿宋_GB2312"/>
                <w:sz w:val="24"/>
                <w:szCs w:val="24"/>
              </w:rPr>
            </w:pPr>
            <w:r w:rsidRPr="00E251E8">
              <w:rPr>
                <w:rFonts w:ascii="仿宋_GB2312" w:eastAsia="仿宋_GB2312" w:hAnsi="仿宋_GB2312" w:cs="仿宋_GB2312"/>
                <w:sz w:val="24"/>
                <w:szCs w:val="24"/>
              </w:rPr>
              <w:t>2</w:t>
            </w:r>
            <w:r w:rsidRPr="00E251E8">
              <w:rPr>
                <w:rFonts w:ascii="仿宋_GB2312" w:eastAsia="仿宋_GB2312" w:hAnsi="仿宋_GB2312" w:cs="仿宋_GB2312" w:hint="eastAsia"/>
                <w:sz w:val="24"/>
                <w:szCs w:val="24"/>
              </w:rPr>
              <w:t>、服务地点：杭州市滨江区</w:t>
            </w:r>
          </w:p>
        </w:tc>
      </w:tr>
      <w:tr w:rsidR="007908FD" w:rsidRPr="007A0F27" w:rsidTr="00B80C33">
        <w:trPr>
          <w:cantSplit/>
          <w:trHeight w:val="1307"/>
          <w:jc w:val="center"/>
        </w:trPr>
        <w:tc>
          <w:tcPr>
            <w:tcW w:w="1814" w:type="dxa"/>
            <w:tcBorders>
              <w:top w:val="single" w:sz="4" w:space="0" w:color="auto"/>
              <w:bottom w:val="single" w:sz="4" w:space="0" w:color="auto"/>
              <w:right w:val="single" w:sz="4" w:space="0" w:color="auto"/>
            </w:tcBorders>
            <w:vAlign w:val="center"/>
          </w:tcPr>
          <w:p w:rsidR="007908FD" w:rsidRPr="007A0F27" w:rsidRDefault="007908FD" w:rsidP="007908FD">
            <w:pPr>
              <w:pStyle w:val="10"/>
              <w:adjustRightInd w:val="0"/>
              <w:snapToGrid w:val="0"/>
              <w:spacing w:beforeLines="50" w:afterLines="50" w:line="240" w:lineRule="auto"/>
              <w:jc w:val="center"/>
              <w:rPr>
                <w:rFonts w:ascii="仿宋_GB2312" w:cs="仿宋_GB2312"/>
                <w:highlight w:val="cyan"/>
              </w:rPr>
            </w:pPr>
            <w:r w:rsidRPr="007A0F27">
              <w:rPr>
                <w:rFonts w:ascii="仿宋_GB2312" w:hAnsi="仿宋_GB2312" w:cs="仿宋_GB2312" w:hint="eastAsia"/>
              </w:rPr>
              <w:t>付款办法</w:t>
            </w:r>
          </w:p>
        </w:tc>
        <w:tc>
          <w:tcPr>
            <w:tcW w:w="7472" w:type="dxa"/>
            <w:tcBorders>
              <w:top w:val="single" w:sz="4" w:space="0" w:color="auto"/>
              <w:left w:val="single" w:sz="4" w:space="0" w:color="auto"/>
              <w:bottom w:val="single" w:sz="4" w:space="0" w:color="auto"/>
            </w:tcBorders>
            <w:vAlign w:val="center"/>
          </w:tcPr>
          <w:p w:rsidR="007908FD" w:rsidRPr="00E251E8" w:rsidRDefault="007908FD" w:rsidP="007908FD">
            <w:pPr>
              <w:adjustRightInd w:val="0"/>
              <w:snapToGrid w:val="0"/>
              <w:spacing w:beforeLines="50" w:afterLines="50"/>
              <w:rPr>
                <w:rFonts w:ascii="仿宋_GB2312" w:eastAsia="仿宋_GB2312" w:hAnsi="仿宋_GB2312" w:cs="仿宋_GB2312"/>
                <w:sz w:val="24"/>
                <w:szCs w:val="24"/>
              </w:rPr>
            </w:pPr>
            <w:r w:rsidRPr="00E251E8">
              <w:rPr>
                <w:rFonts w:ascii="仿宋_GB2312" w:eastAsia="仿宋_GB2312" w:hAnsi="仿宋_GB2312" w:cs="仿宋_GB2312"/>
                <w:sz w:val="24"/>
                <w:szCs w:val="24"/>
              </w:rPr>
              <w:t>1</w:t>
            </w:r>
            <w:r w:rsidRPr="00E251E8">
              <w:rPr>
                <w:rFonts w:ascii="仿宋_GB2312" w:eastAsia="仿宋_GB2312" w:hAnsi="仿宋_GB2312" w:cs="仿宋_GB2312" w:hint="eastAsia"/>
                <w:sz w:val="24"/>
                <w:szCs w:val="24"/>
              </w:rPr>
              <w:t>、合同签订生效后实施检测，实行先检测，后按实结算检测费用的办法。结算时间视检验数量每季度末结算一次。</w:t>
            </w:r>
          </w:p>
          <w:p w:rsidR="007908FD" w:rsidRPr="00E251E8" w:rsidRDefault="007908FD" w:rsidP="007908FD">
            <w:pPr>
              <w:adjustRightInd w:val="0"/>
              <w:snapToGrid w:val="0"/>
              <w:spacing w:beforeLines="50" w:afterLines="50"/>
              <w:rPr>
                <w:rFonts w:ascii="仿宋_GB2312" w:eastAsia="仿宋_GB2312" w:hAnsi="仿宋_GB2312" w:cs="仿宋_GB2312"/>
                <w:sz w:val="24"/>
                <w:szCs w:val="24"/>
              </w:rPr>
            </w:pPr>
            <w:r w:rsidRPr="00E251E8">
              <w:rPr>
                <w:rFonts w:ascii="仿宋_GB2312" w:eastAsia="仿宋_GB2312" w:hAnsi="仿宋_GB2312" w:cs="仿宋_GB2312"/>
                <w:bCs/>
                <w:sz w:val="24"/>
                <w:szCs w:val="24"/>
              </w:rPr>
              <w:t>2</w:t>
            </w:r>
            <w:r w:rsidRPr="00E251E8">
              <w:rPr>
                <w:rFonts w:ascii="仿宋_GB2312" w:eastAsia="仿宋_GB2312" w:hAnsi="仿宋_GB2312" w:cs="仿宋_GB2312" w:hint="eastAsia"/>
                <w:bCs/>
                <w:sz w:val="24"/>
                <w:szCs w:val="24"/>
              </w:rPr>
              <w:t>、每次付款前，中标人须提供符合要求的财务发票，否则采购单位有权不予支付，且不承担违约责任，但中标人仍须履行本合同。</w:t>
            </w:r>
            <w:r w:rsidRPr="00E251E8">
              <w:rPr>
                <w:rFonts w:ascii="仿宋_GB2312" w:eastAsia="仿宋_GB2312" w:hAnsi="仿宋_GB2312" w:cs="仿宋_GB2312"/>
                <w:sz w:val="24"/>
                <w:szCs w:val="24"/>
              </w:rPr>
              <w:t xml:space="preserve"> </w:t>
            </w:r>
          </w:p>
        </w:tc>
      </w:tr>
    </w:tbl>
    <w:p w:rsidR="003D000B" w:rsidRDefault="003D000B"/>
    <w:sectPr w:rsidR="003D000B" w:rsidSect="003D000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隶书">
    <w:altName w:val="黑体"/>
    <w:panose1 w:val="00000000000000000000"/>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08FD"/>
    <w:rsid w:val="003D000B"/>
    <w:rsid w:val="007908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8FD"/>
    <w:pPr>
      <w:widowControl w:val="0"/>
      <w:jc w:val="both"/>
    </w:pPr>
    <w:rPr>
      <w:rFonts w:ascii="Calibri" w:eastAsia="宋体" w:hAnsi="Calibri" w:cs="Times New Roman"/>
    </w:rPr>
  </w:style>
  <w:style w:type="paragraph" w:styleId="1">
    <w:name w:val="heading 1"/>
    <w:basedOn w:val="a"/>
    <w:next w:val="a"/>
    <w:link w:val="1Char"/>
    <w:uiPriority w:val="99"/>
    <w:qFormat/>
    <w:rsid w:val="007908FD"/>
    <w:pPr>
      <w:autoSpaceDE w:val="0"/>
      <w:autoSpaceDN w:val="0"/>
      <w:adjustRightInd w:val="0"/>
      <w:spacing w:line="360" w:lineRule="auto"/>
      <w:jc w:val="center"/>
      <w:outlineLvl w:val="0"/>
    </w:pPr>
    <w:rPr>
      <w:rFonts w:ascii="Times New Roman" w:eastAsia="隶书" w:hAnsi="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7908FD"/>
    <w:rPr>
      <w:rFonts w:ascii="Times New Roman" w:eastAsia="隶书" w:hAnsi="Times New Roman" w:cs="Times New Roman"/>
      <w:b/>
      <w:bCs/>
      <w:kern w:val="0"/>
      <w:sz w:val="36"/>
      <w:szCs w:val="36"/>
    </w:rPr>
  </w:style>
  <w:style w:type="character" w:customStyle="1" w:styleId="Char">
    <w:name w:val="列出段落 Char"/>
    <w:link w:val="a3"/>
    <w:uiPriority w:val="99"/>
    <w:locked/>
    <w:rsid w:val="007908FD"/>
    <w:rPr>
      <w:sz w:val="22"/>
    </w:rPr>
  </w:style>
  <w:style w:type="paragraph" w:styleId="a3">
    <w:name w:val="List Paragraph"/>
    <w:basedOn w:val="a"/>
    <w:link w:val="Char"/>
    <w:uiPriority w:val="99"/>
    <w:qFormat/>
    <w:rsid w:val="007908FD"/>
    <w:pPr>
      <w:ind w:firstLineChars="200" w:firstLine="420"/>
    </w:pPr>
    <w:rPr>
      <w:rFonts w:asciiTheme="minorHAnsi" w:eastAsiaTheme="minorEastAsia" w:hAnsiTheme="minorHAnsi" w:cstheme="minorBidi"/>
      <w:sz w:val="22"/>
    </w:rPr>
  </w:style>
  <w:style w:type="paragraph" w:customStyle="1" w:styleId="10">
    <w:name w:val="1"/>
    <w:basedOn w:val="a"/>
    <w:next w:val="2"/>
    <w:uiPriority w:val="99"/>
    <w:rsid w:val="007908FD"/>
    <w:pPr>
      <w:spacing w:line="360" w:lineRule="auto"/>
    </w:pPr>
    <w:rPr>
      <w:rFonts w:ascii="Times New Roman" w:eastAsia="仿宋_GB2312" w:hAnsi="Times New Roman"/>
      <w:sz w:val="24"/>
      <w:szCs w:val="24"/>
    </w:rPr>
  </w:style>
  <w:style w:type="paragraph" w:styleId="2">
    <w:name w:val="Body Text 2"/>
    <w:basedOn w:val="a"/>
    <w:link w:val="2Char"/>
    <w:uiPriority w:val="99"/>
    <w:semiHidden/>
    <w:unhideWhenUsed/>
    <w:rsid w:val="007908FD"/>
    <w:pPr>
      <w:spacing w:after="120" w:line="480" w:lineRule="auto"/>
    </w:pPr>
  </w:style>
  <w:style w:type="character" w:customStyle="1" w:styleId="2Char">
    <w:name w:val="正文文本 2 Char"/>
    <w:basedOn w:val="a0"/>
    <w:link w:val="2"/>
    <w:uiPriority w:val="99"/>
    <w:semiHidden/>
    <w:rsid w:val="007908FD"/>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2019-01-24T08:43:00Z</dcterms:created>
  <dcterms:modified xsi:type="dcterms:W3CDTF">2019-01-24T08:44:00Z</dcterms:modified>
</cp:coreProperties>
</file>