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spacing w:line="360" w:lineRule="auto"/>
        <w:jc w:val="both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bCs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专精特新“小巨人”企业</w:t>
      </w:r>
      <w:r>
        <w:rPr>
          <w:rFonts w:ascii="Times New Roman" w:hAnsi="Times New Roman" w:eastAsia="方正小标宋简体" w:cs="方正小标宋简体"/>
          <w:color w:val="000000"/>
          <w:sz w:val="44"/>
          <w:szCs w:val="44"/>
        </w:rPr>
        <w:t>认定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标准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专精特新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小巨人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企业认定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需同时满足专、精、特、新、链、品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六个方面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指标。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一、专业化指标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坚持专业化发展道路，长期专注并深耕于产业链某一环节或某一产品。截至上年末，企业从事特定细分市场时间达到3年以上，主营业务收入总额占营业收入总额比重不低于70%，近2年主营业务收入平均增长率不低于5%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二、</w:t>
      </w:r>
      <w:r>
        <w:rPr>
          <w:rFonts w:ascii="Times New Roman" w:hAnsi="Times New Roman" w:eastAsia="黑体" w:cs="黑体"/>
          <w:color w:val="000000"/>
          <w:sz w:val="32"/>
          <w:szCs w:val="32"/>
        </w:rPr>
        <w:t>精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细化指标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重视并实施长期发展战略，公司治理规范、信誉良好、社会责任感强，生产技术、工艺及产品质量性能国内领先，注重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数字化、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绿色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化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发展，在研发设计、生产制造、供应链管理等环节，至少1项核心业务采用信息系统支撑。取得相关管理体系认证，或产品通过发达国家和地区产品认证（国际标准协会行业认证）。截至上年末，企业资产负债率不高于70%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三、特色化指标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技术和产品有自身独特优势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，主导产品在全国细分市场占有率达到10%以上，且享有较高知名度和影响力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拥有直接面向市场并具有竞争优势的自主品牌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四、创新能力指标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满足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一般性条件或创新直通条件。</w:t>
      </w:r>
    </w:p>
    <w:p>
      <w:pPr>
        <w:pStyle w:val="6"/>
        <w:ind w:firstLine="64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bCs/>
          <w:color w:val="000000"/>
          <w:sz w:val="32"/>
          <w:szCs w:val="32"/>
        </w:rPr>
        <w:t>（一）一般性条件。需同时满足以下三项：</w:t>
      </w:r>
    </w:p>
    <w:p>
      <w:pPr>
        <w:pStyle w:val="6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z w:val="32"/>
          <w:szCs w:val="32"/>
        </w:rPr>
        <w:t>1.上年度</w:t>
      </w:r>
      <w:r>
        <w:rPr>
          <w:rFonts w:ascii="Times New Roman" w:hAnsi="Times New Roman"/>
          <w:bCs/>
          <w:color w:val="000000"/>
          <w:sz w:val="32"/>
          <w:szCs w:val="32"/>
        </w:rPr>
        <w:t>营业收入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总额</w:t>
      </w:r>
      <w:r>
        <w:rPr>
          <w:rFonts w:ascii="Times New Roman" w:hAnsi="Times New Roman"/>
          <w:bCs/>
          <w:color w:val="000000"/>
          <w:sz w:val="32"/>
          <w:szCs w:val="32"/>
        </w:rPr>
        <w:t>在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1亿元</w:t>
      </w:r>
      <w:r>
        <w:rPr>
          <w:rFonts w:ascii="Times New Roman" w:hAnsi="Times New Roman"/>
          <w:bCs/>
          <w:color w:val="000000"/>
          <w:sz w:val="32"/>
          <w:szCs w:val="32"/>
        </w:rPr>
        <w:t>以上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的企业</w:t>
      </w:r>
      <w:r>
        <w:rPr>
          <w:rFonts w:ascii="Times New Roman" w:hAnsi="Times New Roman"/>
          <w:bCs/>
          <w:color w:val="000000"/>
          <w:sz w:val="32"/>
          <w:szCs w:val="32"/>
        </w:rPr>
        <w:t>，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近2年研发费用总额占营业收入总额比重均不低于3%；上年度营业收入总额在5000万元—1亿元的企业，近2年研发费用总额占营业收入总额比重均不低于6%；上年度营业收入总额在5000万元以下的企业，同时满足近2年新增股权融资总额（合格机构投资者的实缴额）8000万元以上，且研发费用总额3000万元以上、研发人员占企业职工总数比重50%以上。</w:t>
      </w:r>
    </w:p>
    <w:p>
      <w:pPr>
        <w:pStyle w:val="6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z w:val="32"/>
          <w:szCs w:val="32"/>
        </w:rPr>
        <w:t>2.自建或与高等院校、科研机构联合建立研发机构，设立技术研究院、企业技术中心、企业工程中心、院士专家工作站、博士后工作站等。</w:t>
      </w:r>
    </w:p>
    <w:p>
      <w:pPr>
        <w:pStyle w:val="6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z w:val="32"/>
          <w:szCs w:val="32"/>
        </w:rPr>
        <w:t>3.拥有2项以上与主导产品相关的</w:t>
      </w:r>
      <w:r>
        <w:rPr>
          <w:rFonts w:ascii="Times New Roman" w:hAnsi="Times New Roman"/>
          <w:bCs/>
          <w:color w:val="000000"/>
          <w:sz w:val="32"/>
          <w:szCs w:val="32"/>
        </w:rPr>
        <w:t>Ⅰ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类知识产权，且实际应用</w:t>
      </w:r>
      <w:r>
        <w:rPr>
          <w:rFonts w:ascii="Times New Roman" w:hAnsi="Times New Roman"/>
          <w:bCs/>
          <w:color w:val="000000"/>
          <w:sz w:val="32"/>
          <w:szCs w:val="32"/>
        </w:rPr>
        <w:t>并已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产生经济效益。</w:t>
      </w:r>
    </w:p>
    <w:p>
      <w:pPr>
        <w:pStyle w:val="6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z w:val="32"/>
          <w:szCs w:val="32"/>
        </w:rPr>
        <w:t>（二）创新直通条件。满足以下一项即可：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近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年获得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国家级科技奖励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，并在获奖单位中排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前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三。</w:t>
      </w:r>
    </w:p>
    <w:p>
      <w:pPr>
        <w:spacing w:line="600" w:lineRule="exact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近三年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进入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创客中国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中小企业创新创业大赛全国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50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企业组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名单。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五、产业链配套指标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位于产业链关键环节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围绕重点产业链实现关键基础技术和产品的产业化应用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，发挥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“补短板”“锻长板”“填空白”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等重要作用。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六、主导产品所属领域指标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主导产品原则上属于以下重点领域：从事细分产品市场属于制造业核心基础零部件、元器件、关键软件、先进基础工艺、关键基础材料和产业技术基础；或符合制造强国战略十大重点产业领域；或属于网络强国建设的信息基础设施、关键核心技术、网络安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、数据安全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领域等产品。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0136588D"/>
    <w:rsid w:val="013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customStyle="1" w:styleId="6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2023-03-07T06:42:00Z</dcterms:created>
  <dc:creator>木梓</dc:creator>
  <cp:lastModifiedBy>木梓</cp:lastModifiedBy>
  <dcterms:modified xsi:type="dcterms:W3CDTF">2023-03-07T06:43:45Z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4DC5A1135986487186692A05E16E6E96</vt:lpwstr>
  </property>
</Properties>
</file>