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C4" w:rsidRPr="003D0129" w:rsidRDefault="00101DC4" w:rsidP="00101DC4">
      <w:pPr>
        <w:pStyle w:val="a5"/>
        <w:rPr>
          <w:rFonts w:cs="Arial"/>
          <w:sz w:val="24"/>
          <w:szCs w:val="24"/>
        </w:rPr>
      </w:pPr>
      <w:r w:rsidRPr="003D0129">
        <w:rPr>
          <w:rFonts w:hint="eastAsia"/>
        </w:rPr>
        <w:t>采购需求</w:t>
      </w:r>
    </w:p>
    <w:p w:rsidR="00101DC4" w:rsidRPr="003D0129" w:rsidRDefault="00101DC4" w:rsidP="00101DC4">
      <w:pPr>
        <w:spacing w:line="360" w:lineRule="auto"/>
        <w:rPr>
          <w:rFonts w:ascii="宋体" w:hAnsi="宋体"/>
          <w:sz w:val="24"/>
          <w:szCs w:val="24"/>
        </w:rPr>
      </w:pPr>
      <w:r w:rsidRPr="003D0129">
        <w:rPr>
          <w:rFonts w:ascii="宋体" w:hAnsi="宋体" w:hint="eastAsia"/>
          <w:b/>
          <w:sz w:val="24"/>
          <w:szCs w:val="24"/>
        </w:rPr>
        <w:t>采购项目</w:t>
      </w:r>
      <w:r w:rsidRPr="003D0129">
        <w:rPr>
          <w:rFonts w:ascii="宋体" w:hAnsi="宋体"/>
          <w:b/>
          <w:sz w:val="24"/>
          <w:szCs w:val="24"/>
        </w:rPr>
        <w:t>编号</w:t>
      </w:r>
      <w:r w:rsidRPr="003D0129">
        <w:rPr>
          <w:rFonts w:ascii="宋体" w:hAnsi="宋体"/>
          <w:sz w:val="24"/>
          <w:szCs w:val="24"/>
        </w:rPr>
        <w:t>：</w:t>
      </w:r>
      <w:r>
        <w:rPr>
          <w:rFonts w:ascii="宋体" w:hAnsi="宋体" w:cs="Arial"/>
          <w:bCs/>
          <w:sz w:val="24"/>
          <w:szCs w:val="24"/>
        </w:rPr>
        <w:t>ZJXY-HZ2019-113（4）</w:t>
      </w:r>
    </w:p>
    <w:p w:rsidR="00101DC4" w:rsidRPr="003D0129" w:rsidRDefault="00101DC4" w:rsidP="00101DC4">
      <w:pPr>
        <w:spacing w:line="360" w:lineRule="auto"/>
        <w:rPr>
          <w:rFonts w:ascii="宋体" w:hAnsi="宋体"/>
          <w:sz w:val="24"/>
          <w:szCs w:val="24"/>
        </w:rPr>
      </w:pPr>
      <w:r w:rsidRPr="003D0129">
        <w:rPr>
          <w:rFonts w:ascii="宋体" w:hAnsi="宋体"/>
          <w:b/>
          <w:sz w:val="24"/>
          <w:szCs w:val="24"/>
        </w:rPr>
        <w:t>采购人名称</w:t>
      </w:r>
      <w:r w:rsidRPr="003D0129">
        <w:rPr>
          <w:rFonts w:ascii="宋体" w:hAnsi="宋体"/>
          <w:sz w:val="24"/>
          <w:szCs w:val="24"/>
        </w:rPr>
        <w:t>：</w:t>
      </w:r>
      <w:r w:rsidRPr="003D0129">
        <w:rPr>
          <w:rFonts w:ascii="宋体" w:hAnsi="宋体" w:hint="eastAsia"/>
          <w:sz w:val="24"/>
          <w:szCs w:val="24"/>
        </w:rPr>
        <w:t>杭州市滨江区城市管理局</w:t>
      </w:r>
    </w:p>
    <w:p w:rsidR="00101DC4" w:rsidRPr="003D0129" w:rsidRDefault="00101DC4" w:rsidP="00101DC4">
      <w:pPr>
        <w:snapToGrid w:val="0"/>
        <w:spacing w:line="360" w:lineRule="auto"/>
        <w:rPr>
          <w:rFonts w:ascii="宋体" w:hAnsi="宋体"/>
          <w:kern w:val="0"/>
          <w:sz w:val="24"/>
          <w:szCs w:val="24"/>
        </w:rPr>
      </w:pPr>
      <w:r w:rsidRPr="003D0129">
        <w:rPr>
          <w:rFonts w:ascii="宋体" w:hAnsi="宋体" w:hint="eastAsia"/>
          <w:b/>
          <w:sz w:val="24"/>
          <w:szCs w:val="24"/>
        </w:rPr>
        <w:t>标段名称：</w:t>
      </w:r>
      <w:r w:rsidRPr="003D0129">
        <w:rPr>
          <w:rFonts w:ascii="宋体" w:hAnsi="宋体" w:hint="eastAsia"/>
          <w:b/>
          <w:kern w:val="0"/>
          <w:sz w:val="24"/>
          <w:szCs w:val="24"/>
          <w:u w:val="single"/>
        </w:rPr>
        <w:t>滨江区闻涛路及沿江景观带等公共绿地养护管理项目（标段四）</w:t>
      </w:r>
    </w:p>
    <w:p w:rsidR="00101DC4" w:rsidRPr="003D0129" w:rsidRDefault="00101DC4" w:rsidP="00101DC4">
      <w:pPr>
        <w:spacing w:line="360" w:lineRule="auto"/>
        <w:outlineLvl w:val="0"/>
        <w:rPr>
          <w:rFonts w:ascii="宋体" w:hAnsi="宋体"/>
          <w:b/>
          <w:sz w:val="24"/>
          <w:szCs w:val="24"/>
        </w:rPr>
      </w:pPr>
      <w:r w:rsidRPr="003D0129">
        <w:rPr>
          <w:rFonts w:ascii="宋体" w:hAnsi="宋体"/>
          <w:b/>
          <w:sz w:val="24"/>
          <w:szCs w:val="24"/>
        </w:rPr>
        <w:t>一、项目</w:t>
      </w:r>
      <w:r w:rsidRPr="003D0129">
        <w:rPr>
          <w:rFonts w:ascii="宋体" w:hAnsi="宋体" w:hint="eastAsia"/>
          <w:b/>
          <w:sz w:val="24"/>
          <w:szCs w:val="24"/>
        </w:rPr>
        <w:t>总体</w:t>
      </w:r>
      <w:r w:rsidRPr="003D0129">
        <w:rPr>
          <w:rFonts w:ascii="宋体" w:hAnsi="宋体"/>
          <w:b/>
          <w:sz w:val="24"/>
          <w:szCs w:val="24"/>
        </w:rPr>
        <w:t>要求</w:t>
      </w:r>
    </w:p>
    <w:p w:rsidR="00101DC4" w:rsidRPr="003D0129" w:rsidRDefault="00101DC4" w:rsidP="00101DC4">
      <w:pPr>
        <w:snapToGrid w:val="0"/>
        <w:spacing w:line="360" w:lineRule="auto"/>
        <w:ind w:firstLineChars="149" w:firstLine="359"/>
        <w:rPr>
          <w:rFonts w:ascii="宋体" w:hAnsi="宋体"/>
          <w:b/>
          <w:sz w:val="24"/>
          <w:szCs w:val="24"/>
        </w:rPr>
      </w:pPr>
      <w:r w:rsidRPr="003D0129">
        <w:rPr>
          <w:rFonts w:ascii="宋体" w:hAnsi="宋体" w:hint="eastAsia"/>
          <w:b/>
          <w:sz w:val="24"/>
          <w:szCs w:val="24"/>
        </w:rPr>
        <w:t>（一）项目概况</w:t>
      </w:r>
    </w:p>
    <w:p w:rsidR="00101DC4" w:rsidRPr="003D0129" w:rsidRDefault="00101DC4" w:rsidP="00101DC4">
      <w:pPr>
        <w:snapToGrid w:val="0"/>
        <w:spacing w:line="360" w:lineRule="auto"/>
        <w:ind w:firstLineChars="200" w:firstLine="480"/>
        <w:rPr>
          <w:rFonts w:ascii="宋体" w:hAnsi="宋体" w:hint="eastAsia"/>
          <w:sz w:val="24"/>
          <w:szCs w:val="24"/>
        </w:rPr>
      </w:pPr>
      <w:r w:rsidRPr="003D0129">
        <w:rPr>
          <w:rFonts w:ascii="宋体" w:hAnsi="宋体" w:hint="eastAsia"/>
          <w:sz w:val="24"/>
          <w:szCs w:val="24"/>
        </w:rPr>
        <w:t>1、招标范围：</w:t>
      </w:r>
    </w:p>
    <w:p w:rsidR="00101DC4" w:rsidRPr="003D0129" w:rsidRDefault="00101DC4" w:rsidP="00101DC4">
      <w:pPr>
        <w:snapToGrid w:val="0"/>
        <w:spacing w:line="360" w:lineRule="auto"/>
        <w:ind w:firstLineChars="200" w:firstLine="480"/>
        <w:rPr>
          <w:rFonts w:ascii="宋体" w:hAnsi="宋体" w:hint="eastAsia"/>
          <w:sz w:val="24"/>
          <w:szCs w:val="24"/>
        </w:rPr>
      </w:pPr>
      <w:r w:rsidRPr="003D0129">
        <w:rPr>
          <w:rFonts w:ascii="宋体" w:hAnsi="宋体" w:hint="eastAsia"/>
          <w:sz w:val="24"/>
          <w:szCs w:val="24"/>
        </w:rPr>
        <w:t>本标段绿地总面积为185612.5</w:t>
      </w:r>
      <w:r w:rsidRPr="003D0129">
        <w:rPr>
          <w:rFonts w:ascii="宋体" w:hAnsi="宋体"/>
          <w:sz w:val="24"/>
          <w:szCs w:val="24"/>
        </w:rPr>
        <w:t>平方米</w:t>
      </w:r>
      <w:r w:rsidRPr="003D0129">
        <w:rPr>
          <w:rFonts w:ascii="宋体" w:hAnsi="宋体" w:hint="eastAsia"/>
          <w:sz w:val="24"/>
          <w:szCs w:val="24"/>
        </w:rPr>
        <w:t>，</w:t>
      </w:r>
      <w:r w:rsidRPr="003D0129">
        <w:rPr>
          <w:rFonts w:ascii="宋体" w:hAnsi="宋体"/>
          <w:sz w:val="24"/>
          <w:szCs w:val="24"/>
        </w:rPr>
        <w:t>其中</w:t>
      </w:r>
      <w:r w:rsidRPr="003D0129">
        <w:rPr>
          <w:rFonts w:ascii="宋体" w:hAnsi="宋体" w:hint="eastAsia"/>
          <w:sz w:val="24"/>
          <w:szCs w:val="24"/>
        </w:rPr>
        <w:t>绿地面积175025.5</w:t>
      </w:r>
      <w:r w:rsidRPr="003D0129">
        <w:rPr>
          <w:rFonts w:ascii="宋体" w:hAnsi="宋体"/>
          <w:sz w:val="24"/>
          <w:szCs w:val="24"/>
        </w:rPr>
        <w:t>平方米</w:t>
      </w:r>
      <w:r w:rsidRPr="003D0129">
        <w:rPr>
          <w:rFonts w:ascii="宋体" w:hAnsi="宋体" w:hint="eastAsia"/>
          <w:sz w:val="24"/>
          <w:szCs w:val="24"/>
        </w:rPr>
        <w:t>，时花面积110</w:t>
      </w:r>
      <w:r w:rsidRPr="003D0129">
        <w:rPr>
          <w:rFonts w:ascii="宋体" w:hAnsi="宋体"/>
          <w:sz w:val="24"/>
          <w:szCs w:val="24"/>
        </w:rPr>
        <w:t>平方米</w:t>
      </w:r>
      <w:r w:rsidRPr="003D0129">
        <w:rPr>
          <w:rFonts w:ascii="宋体" w:hAnsi="宋体" w:hint="eastAsia"/>
          <w:sz w:val="24"/>
          <w:szCs w:val="24"/>
        </w:rPr>
        <w:t>，常绿草面积10477平方米，行道树1151</w:t>
      </w:r>
      <w:r w:rsidRPr="003D0129">
        <w:rPr>
          <w:rFonts w:ascii="宋体" w:hAnsi="宋体"/>
          <w:sz w:val="24"/>
          <w:szCs w:val="24"/>
        </w:rPr>
        <w:t>株</w:t>
      </w:r>
      <w:r w:rsidRPr="003D0129">
        <w:rPr>
          <w:rFonts w:ascii="宋体" w:hAnsi="宋体" w:hint="eastAsia"/>
          <w:sz w:val="24"/>
          <w:szCs w:val="24"/>
        </w:rPr>
        <w:t>。</w:t>
      </w:r>
    </w:p>
    <w:p w:rsidR="00101DC4" w:rsidRPr="003D0129" w:rsidRDefault="00101DC4" w:rsidP="00101DC4">
      <w:pPr>
        <w:snapToGrid w:val="0"/>
        <w:spacing w:line="360" w:lineRule="auto"/>
        <w:ind w:firstLineChars="200" w:firstLine="480"/>
        <w:rPr>
          <w:rFonts w:ascii="宋体" w:hAnsi="宋体"/>
          <w:sz w:val="24"/>
        </w:rPr>
      </w:pPr>
      <w:r w:rsidRPr="003D0129">
        <w:rPr>
          <w:rFonts w:ascii="宋体" w:hAnsi="宋体" w:cs="Arial" w:hint="eastAsia"/>
          <w:bCs/>
          <w:sz w:val="24"/>
          <w:szCs w:val="24"/>
        </w:rPr>
        <w:t>本次招标</w:t>
      </w:r>
      <w:r w:rsidRPr="003D0129">
        <w:rPr>
          <w:rFonts w:ascii="宋体" w:hAnsi="宋体" w:hint="eastAsia"/>
          <w:sz w:val="24"/>
        </w:rPr>
        <w:t>养护范围中明确的全部绿地养护内容，包括养护期内死亡苗木补植、现有植物的养护管理和园林建筑、小品等所有配套设施及附属物的保洁和维护更换。还包括可能出现的因客观原因对该绿地进行局部调整后所引起的上述范围内的养护管理需增加的内容。</w:t>
      </w:r>
    </w:p>
    <w:p w:rsidR="00101DC4" w:rsidRPr="003D0129" w:rsidRDefault="00101DC4" w:rsidP="00101DC4">
      <w:pPr>
        <w:snapToGrid w:val="0"/>
        <w:spacing w:line="360" w:lineRule="auto"/>
        <w:ind w:firstLineChars="200" w:firstLine="480"/>
        <w:rPr>
          <w:rFonts w:ascii="宋体" w:hAnsi="宋体"/>
          <w:sz w:val="24"/>
        </w:rPr>
      </w:pPr>
      <w:r w:rsidRPr="003D0129">
        <w:rPr>
          <w:rFonts w:ascii="宋体" w:hAnsi="宋体" w:hint="eastAsia"/>
          <w:sz w:val="24"/>
        </w:rPr>
        <w:t>2、报价内容：养护费的最终报价应为完成上述公共绿地养护管理项目养护期（27个月）内的全部费用，包括：机具（设备）费、园林设施维护费（更换）、人工费、补植费、水电费、巡视、草坪复播、施肥、农药、时花（一年六换）、灾害性天气应急措施费、税金等为完成本养护项目发生的其他所有费用。</w:t>
      </w:r>
    </w:p>
    <w:p w:rsidR="00101DC4" w:rsidRPr="003D0129" w:rsidRDefault="00101DC4" w:rsidP="00101DC4">
      <w:pPr>
        <w:snapToGrid w:val="0"/>
        <w:spacing w:line="360" w:lineRule="auto"/>
        <w:ind w:firstLineChars="197" w:firstLine="473"/>
        <w:rPr>
          <w:rFonts w:ascii="宋体" w:hAnsi="宋体"/>
          <w:sz w:val="24"/>
        </w:rPr>
      </w:pPr>
      <w:r w:rsidRPr="003D0129">
        <w:rPr>
          <w:rFonts w:ascii="宋体" w:hAnsi="宋体" w:hint="eastAsia"/>
          <w:sz w:val="24"/>
        </w:rPr>
        <w:t>3、承包方式：本次养护管理项目招标采用养护总价承包。</w:t>
      </w:r>
    </w:p>
    <w:p w:rsidR="00101DC4" w:rsidRPr="003D0129" w:rsidRDefault="00101DC4" w:rsidP="00101DC4">
      <w:pPr>
        <w:spacing w:line="360" w:lineRule="auto"/>
        <w:ind w:firstLineChars="200" w:firstLine="480"/>
        <w:rPr>
          <w:rFonts w:ascii="宋体" w:hAnsi="宋体"/>
          <w:sz w:val="24"/>
        </w:rPr>
      </w:pPr>
      <w:r w:rsidRPr="003D0129">
        <w:rPr>
          <w:rFonts w:ascii="宋体" w:hAnsi="宋体" w:hint="eastAsia"/>
          <w:sz w:val="24"/>
        </w:rPr>
        <w:t>4、养护</w:t>
      </w:r>
      <w:r w:rsidRPr="003D0129">
        <w:rPr>
          <w:rFonts w:ascii="宋体" w:hAnsi="宋体"/>
          <w:sz w:val="24"/>
        </w:rPr>
        <w:t>服务期</w:t>
      </w:r>
      <w:r w:rsidRPr="003D0129">
        <w:rPr>
          <w:rFonts w:ascii="宋体" w:hAnsi="宋体" w:hint="eastAsia"/>
          <w:sz w:val="24"/>
        </w:rPr>
        <w:t>为27个月。暂定</w:t>
      </w:r>
      <w:r w:rsidRPr="003D0129">
        <w:rPr>
          <w:rFonts w:ascii="宋体" w:hAnsi="宋体"/>
          <w:sz w:val="24"/>
        </w:rPr>
        <w:t>2020</w:t>
      </w:r>
      <w:r w:rsidRPr="003D0129">
        <w:rPr>
          <w:rFonts w:ascii="宋体" w:hAnsi="宋体" w:hint="eastAsia"/>
          <w:sz w:val="24"/>
        </w:rPr>
        <w:t>年</w:t>
      </w:r>
      <w:r w:rsidRPr="003D0129">
        <w:rPr>
          <w:rFonts w:ascii="宋体" w:hAnsi="宋体"/>
          <w:sz w:val="24"/>
        </w:rPr>
        <w:t>1</w:t>
      </w:r>
      <w:r w:rsidRPr="003D0129">
        <w:rPr>
          <w:rFonts w:ascii="宋体" w:hAnsi="宋体" w:hint="eastAsia"/>
          <w:sz w:val="24"/>
        </w:rPr>
        <w:t>月</w:t>
      </w:r>
      <w:r w:rsidRPr="003D0129">
        <w:rPr>
          <w:rFonts w:ascii="宋体" w:hAnsi="宋体"/>
          <w:sz w:val="24"/>
        </w:rPr>
        <w:t>1日-2022</w:t>
      </w:r>
      <w:r w:rsidRPr="003D0129">
        <w:rPr>
          <w:rFonts w:ascii="宋体" w:hAnsi="宋体" w:hint="eastAsia"/>
          <w:sz w:val="24"/>
        </w:rPr>
        <w:t>年</w:t>
      </w:r>
      <w:r w:rsidRPr="003D0129">
        <w:rPr>
          <w:rFonts w:ascii="宋体" w:hAnsi="宋体"/>
          <w:sz w:val="24"/>
        </w:rPr>
        <w:t>3</w:t>
      </w:r>
      <w:r w:rsidRPr="003D0129">
        <w:rPr>
          <w:rFonts w:ascii="宋体" w:hAnsi="宋体" w:hint="eastAsia"/>
          <w:sz w:val="24"/>
        </w:rPr>
        <w:t>月</w:t>
      </w:r>
      <w:r w:rsidRPr="003D0129">
        <w:rPr>
          <w:rFonts w:ascii="宋体" w:hAnsi="宋体"/>
          <w:sz w:val="24"/>
        </w:rPr>
        <w:t>31日，</w:t>
      </w:r>
      <w:r w:rsidRPr="003D0129">
        <w:rPr>
          <w:rFonts w:ascii="宋体" w:hAnsi="宋体" w:hint="eastAsia"/>
          <w:sz w:val="24"/>
        </w:rPr>
        <w:t>实际的养护工作时间以合同签订时间为准</w:t>
      </w:r>
      <w:r w:rsidRPr="003D0129">
        <w:rPr>
          <w:rFonts w:ascii="宋体" w:hAnsi="宋体"/>
          <w:sz w:val="24"/>
        </w:rPr>
        <w:t>。</w:t>
      </w:r>
      <w:r w:rsidRPr="003D0129">
        <w:rPr>
          <w:rFonts w:ascii="宋体" w:hAnsi="宋体" w:hint="eastAsia"/>
          <w:sz w:val="24"/>
        </w:rPr>
        <w:t>中标供应商在合同期内每年度达到采购人总体考核要求的，养护合同继续执行。</w:t>
      </w:r>
    </w:p>
    <w:p w:rsidR="00101DC4" w:rsidRPr="003D0129" w:rsidRDefault="00101DC4" w:rsidP="00101DC4">
      <w:pPr>
        <w:spacing w:line="360" w:lineRule="auto"/>
        <w:ind w:firstLineChars="150" w:firstLine="361"/>
        <w:rPr>
          <w:rFonts w:ascii="宋体" w:hAnsi="宋体"/>
          <w:b/>
          <w:sz w:val="24"/>
        </w:rPr>
      </w:pPr>
      <w:r w:rsidRPr="003D0129">
        <w:rPr>
          <w:rFonts w:ascii="宋体" w:hAnsi="宋体" w:hint="eastAsia"/>
          <w:b/>
          <w:sz w:val="24"/>
        </w:rPr>
        <w:t>（二）现场条件</w:t>
      </w:r>
    </w:p>
    <w:p w:rsidR="00101DC4" w:rsidRPr="003D0129" w:rsidRDefault="00101DC4" w:rsidP="00101DC4">
      <w:pPr>
        <w:spacing w:line="360" w:lineRule="auto"/>
        <w:ind w:firstLineChars="200" w:firstLine="480"/>
        <w:rPr>
          <w:rFonts w:ascii="宋体" w:hAnsi="宋体"/>
          <w:sz w:val="24"/>
        </w:rPr>
      </w:pPr>
      <w:r w:rsidRPr="003D0129">
        <w:rPr>
          <w:rFonts w:ascii="宋体" w:hAnsi="宋体" w:hint="eastAsia"/>
          <w:sz w:val="24"/>
        </w:rPr>
        <w:t>1、养护招标范围内单独装表计量的绿化用水、用电费用由养护中标供应商自行承担，并按时交纳水电费，采购人积极提供便利。如需新装水电表的，费用由养护单位承担。</w:t>
      </w:r>
    </w:p>
    <w:p w:rsidR="00101DC4" w:rsidRPr="003D0129" w:rsidRDefault="00101DC4" w:rsidP="00101DC4">
      <w:pPr>
        <w:spacing w:line="360" w:lineRule="auto"/>
        <w:ind w:firstLineChars="200" w:firstLine="480"/>
        <w:rPr>
          <w:rFonts w:ascii="宋体" w:hAnsi="宋体"/>
          <w:sz w:val="24"/>
        </w:rPr>
      </w:pPr>
      <w:r w:rsidRPr="003D0129">
        <w:rPr>
          <w:rFonts w:ascii="宋体" w:hAnsi="宋体" w:hint="eastAsia"/>
          <w:sz w:val="24"/>
        </w:rPr>
        <w:t>2、养护招标范围内的绿地在滨江区重要地段，是市、区检查及居民投诉热点，本次报价必须考虑各类因素。</w:t>
      </w:r>
    </w:p>
    <w:p w:rsidR="00101DC4" w:rsidRPr="003D0129" w:rsidRDefault="00101DC4" w:rsidP="00101DC4">
      <w:pPr>
        <w:spacing w:line="360" w:lineRule="auto"/>
        <w:ind w:firstLineChars="147" w:firstLine="354"/>
        <w:rPr>
          <w:rFonts w:ascii="宋体" w:hAnsi="宋体"/>
          <w:b/>
          <w:sz w:val="24"/>
        </w:rPr>
      </w:pPr>
      <w:r w:rsidRPr="003D0129">
        <w:rPr>
          <w:rFonts w:ascii="宋体" w:hAnsi="宋体" w:hint="eastAsia"/>
          <w:b/>
          <w:sz w:val="24"/>
        </w:rPr>
        <w:t>（三）质量要求</w:t>
      </w:r>
    </w:p>
    <w:p w:rsidR="00101DC4" w:rsidRPr="003D0129" w:rsidRDefault="00101DC4" w:rsidP="00101DC4">
      <w:pPr>
        <w:spacing w:line="360" w:lineRule="auto"/>
        <w:rPr>
          <w:rFonts w:ascii="宋体" w:hAnsi="宋体"/>
          <w:sz w:val="24"/>
        </w:rPr>
      </w:pPr>
      <w:r w:rsidRPr="003D0129">
        <w:rPr>
          <w:rFonts w:ascii="宋体" w:hAnsi="宋体" w:hint="eastAsia"/>
          <w:sz w:val="24"/>
        </w:rPr>
        <w:t xml:space="preserve">    1、要求养护质量达到《杭州市城区绿地养护质量标准》和《滨江区公共绿地养护管理考核办法》要求。</w:t>
      </w:r>
    </w:p>
    <w:p w:rsidR="00101DC4" w:rsidRPr="003D0129" w:rsidRDefault="00101DC4" w:rsidP="00101DC4">
      <w:pPr>
        <w:spacing w:line="360" w:lineRule="auto"/>
        <w:ind w:firstLineChars="200" w:firstLine="480"/>
        <w:rPr>
          <w:rFonts w:ascii="宋体" w:hAnsi="宋体"/>
          <w:sz w:val="24"/>
        </w:rPr>
      </w:pPr>
      <w:r w:rsidRPr="003D0129">
        <w:rPr>
          <w:rFonts w:ascii="宋体" w:hAnsi="宋体" w:hint="eastAsia"/>
          <w:sz w:val="24"/>
        </w:rPr>
        <w:t>2、养护承包人必须严格按合同条款、绿地养护标准，精心组织养护，确保养护质量。</w:t>
      </w:r>
    </w:p>
    <w:p w:rsidR="00101DC4" w:rsidRPr="003D0129" w:rsidRDefault="00101DC4" w:rsidP="00101DC4">
      <w:pPr>
        <w:snapToGrid w:val="0"/>
        <w:spacing w:line="360" w:lineRule="auto"/>
        <w:ind w:firstLineChars="149" w:firstLine="359"/>
        <w:rPr>
          <w:rFonts w:ascii="宋体" w:hAnsi="宋体"/>
          <w:b/>
          <w:sz w:val="24"/>
          <w:szCs w:val="24"/>
        </w:rPr>
      </w:pPr>
      <w:r w:rsidRPr="003D0129">
        <w:rPr>
          <w:rFonts w:ascii="宋体" w:hAnsi="宋体" w:hint="eastAsia"/>
          <w:b/>
          <w:sz w:val="24"/>
          <w:szCs w:val="24"/>
        </w:rPr>
        <w:t>（四）养护考评标准</w:t>
      </w:r>
    </w:p>
    <w:p w:rsidR="00101DC4" w:rsidRPr="003D0129" w:rsidRDefault="00101DC4" w:rsidP="00101DC4">
      <w:pPr>
        <w:spacing w:line="360" w:lineRule="auto"/>
        <w:ind w:firstLineChars="200" w:firstLine="480"/>
        <w:rPr>
          <w:rFonts w:ascii="宋体" w:hAnsi="宋体"/>
          <w:sz w:val="24"/>
          <w:szCs w:val="24"/>
        </w:rPr>
      </w:pPr>
      <w:r w:rsidRPr="003D0129">
        <w:rPr>
          <w:rFonts w:ascii="宋体" w:hAnsi="宋体" w:hint="eastAsia"/>
          <w:sz w:val="24"/>
          <w:szCs w:val="24"/>
        </w:rPr>
        <w:t>1、</w:t>
      </w:r>
      <w:r w:rsidRPr="003D0129">
        <w:rPr>
          <w:rFonts w:ascii="宋体" w:hAnsi="宋体" w:cs="宋体" w:hint="eastAsia"/>
          <w:spacing w:val="4"/>
          <w:kern w:val="0"/>
          <w:sz w:val="24"/>
          <w:szCs w:val="24"/>
        </w:rPr>
        <w:t>考评按照《杭州市城市绿化管理条例》、《杭州市城区绿地养护质量标准》、</w:t>
      </w:r>
      <w:r w:rsidRPr="003D0129">
        <w:rPr>
          <w:rFonts w:ascii="宋体" w:hAnsi="宋体" w:hint="eastAsia"/>
          <w:sz w:val="24"/>
        </w:rPr>
        <w:t>《滨</w:t>
      </w:r>
      <w:r w:rsidRPr="003D0129">
        <w:rPr>
          <w:rFonts w:ascii="宋体" w:hAnsi="宋体" w:hint="eastAsia"/>
          <w:sz w:val="24"/>
        </w:rPr>
        <w:lastRenderedPageBreak/>
        <w:t>江区公共绿地养护管理考核办法》</w:t>
      </w:r>
      <w:r w:rsidRPr="003D0129">
        <w:rPr>
          <w:rFonts w:ascii="宋体" w:hAnsi="宋体" w:cs="宋体" w:hint="eastAsia"/>
          <w:spacing w:val="4"/>
          <w:kern w:val="0"/>
          <w:sz w:val="24"/>
          <w:szCs w:val="24"/>
        </w:rPr>
        <w:t>实行</w:t>
      </w:r>
      <w:r w:rsidRPr="003D0129">
        <w:rPr>
          <w:rFonts w:ascii="宋体" w:hAnsi="宋体" w:hint="eastAsia"/>
          <w:sz w:val="24"/>
          <w:szCs w:val="24"/>
        </w:rPr>
        <w:t>。</w:t>
      </w:r>
    </w:p>
    <w:p w:rsidR="00101DC4" w:rsidRPr="003D0129" w:rsidRDefault="00101DC4" w:rsidP="00101DC4">
      <w:pPr>
        <w:spacing w:line="360" w:lineRule="auto"/>
        <w:ind w:rightChars="134" w:right="281" w:firstLineChars="200" w:firstLine="482"/>
        <w:rPr>
          <w:rFonts w:ascii="宋体" w:hAnsi="宋体" w:cs="宋体"/>
          <w:b/>
          <w:kern w:val="0"/>
          <w:sz w:val="24"/>
        </w:rPr>
      </w:pPr>
      <w:r w:rsidRPr="003D0129">
        <w:rPr>
          <w:rFonts w:ascii="宋体" w:hAnsi="宋体" w:cs="宋体" w:hint="eastAsia"/>
          <w:b/>
          <w:kern w:val="0"/>
          <w:sz w:val="24"/>
        </w:rPr>
        <w:t>（五）相关说明</w:t>
      </w:r>
    </w:p>
    <w:p w:rsidR="00101DC4" w:rsidRPr="003D0129" w:rsidRDefault="00101DC4" w:rsidP="00101DC4">
      <w:pPr>
        <w:snapToGrid w:val="0"/>
        <w:spacing w:line="360" w:lineRule="auto"/>
        <w:ind w:rightChars="134" w:right="281" w:firstLineChars="200" w:firstLine="482"/>
        <w:rPr>
          <w:rFonts w:ascii="宋体" w:hAnsi="宋体" w:hint="eastAsia"/>
          <w:b/>
          <w:sz w:val="24"/>
          <w:szCs w:val="24"/>
          <w:u w:val="single"/>
        </w:rPr>
      </w:pPr>
      <w:r w:rsidRPr="003D0129">
        <w:rPr>
          <w:rFonts w:ascii="宋体" w:hAnsi="宋体" w:hint="eastAsia"/>
          <w:b/>
          <w:bCs/>
          <w:sz w:val="24"/>
        </w:rPr>
        <w:t>▲</w:t>
      </w:r>
      <w:r w:rsidRPr="003D0129">
        <w:rPr>
          <w:rFonts w:hint="eastAsia"/>
          <w:b/>
          <w:sz w:val="24"/>
          <w:szCs w:val="24"/>
          <w:u w:val="single"/>
        </w:rPr>
        <w:t>本</w:t>
      </w:r>
      <w:r w:rsidRPr="003D0129">
        <w:rPr>
          <w:rFonts w:hint="eastAsia"/>
          <w:b/>
          <w:bCs/>
          <w:sz w:val="24"/>
          <w:szCs w:val="24"/>
          <w:u w:val="single"/>
        </w:rPr>
        <w:t>项目共四个标段</w:t>
      </w:r>
      <w:r w:rsidRPr="003D0129">
        <w:rPr>
          <w:rFonts w:hint="eastAsia"/>
          <w:b/>
          <w:sz w:val="24"/>
          <w:szCs w:val="24"/>
          <w:u w:val="single"/>
        </w:rPr>
        <w:t>同时采购，供应商</w:t>
      </w:r>
      <w:r w:rsidRPr="003D0129">
        <w:rPr>
          <w:b/>
          <w:sz w:val="24"/>
          <w:szCs w:val="24"/>
          <w:u w:val="single"/>
        </w:rPr>
        <w:t>可以就</w:t>
      </w:r>
      <w:r w:rsidRPr="003D0129">
        <w:rPr>
          <w:rFonts w:hint="eastAsia"/>
          <w:b/>
          <w:sz w:val="24"/>
          <w:szCs w:val="24"/>
          <w:u w:val="single"/>
        </w:rPr>
        <w:t>本项目的四个</w:t>
      </w:r>
      <w:r w:rsidRPr="003D0129">
        <w:rPr>
          <w:b/>
          <w:sz w:val="24"/>
          <w:szCs w:val="24"/>
          <w:u w:val="single"/>
        </w:rPr>
        <w:t>标段</w:t>
      </w:r>
      <w:r w:rsidRPr="003D0129">
        <w:rPr>
          <w:rFonts w:hint="eastAsia"/>
          <w:b/>
          <w:sz w:val="24"/>
          <w:szCs w:val="24"/>
          <w:u w:val="single"/>
        </w:rPr>
        <w:t>同时</w:t>
      </w:r>
      <w:r w:rsidRPr="003D0129">
        <w:rPr>
          <w:b/>
          <w:sz w:val="24"/>
          <w:szCs w:val="24"/>
          <w:u w:val="single"/>
        </w:rPr>
        <w:t>进行投标，评标时将按</w:t>
      </w:r>
      <w:r w:rsidRPr="003D0129">
        <w:rPr>
          <w:rFonts w:hint="eastAsia"/>
          <w:b/>
          <w:sz w:val="24"/>
          <w:szCs w:val="24"/>
          <w:u w:val="single"/>
        </w:rPr>
        <w:t>标段一、标段二、标段三、标段四的</w:t>
      </w:r>
      <w:r w:rsidRPr="003D0129">
        <w:rPr>
          <w:b/>
          <w:sz w:val="24"/>
          <w:szCs w:val="24"/>
          <w:u w:val="single"/>
        </w:rPr>
        <w:t>顺序进行评标，为保证服务质量，如供应商同时在</w:t>
      </w:r>
      <w:r w:rsidRPr="003D0129">
        <w:rPr>
          <w:rFonts w:hint="eastAsia"/>
          <w:b/>
          <w:sz w:val="24"/>
          <w:szCs w:val="24"/>
          <w:u w:val="single"/>
        </w:rPr>
        <w:t>二</w:t>
      </w:r>
      <w:r w:rsidRPr="003D0129">
        <w:rPr>
          <w:b/>
          <w:sz w:val="24"/>
          <w:szCs w:val="24"/>
          <w:u w:val="single"/>
        </w:rPr>
        <w:t>个或二个以上标段中被推荐为第一中标候选人，则只能保留</w:t>
      </w:r>
      <w:r w:rsidRPr="003D0129">
        <w:rPr>
          <w:rFonts w:hint="eastAsia"/>
          <w:b/>
          <w:sz w:val="24"/>
          <w:szCs w:val="24"/>
          <w:u w:val="single"/>
        </w:rPr>
        <w:t>前一</w:t>
      </w:r>
      <w:r w:rsidRPr="003D0129">
        <w:rPr>
          <w:b/>
          <w:sz w:val="24"/>
          <w:szCs w:val="24"/>
          <w:u w:val="single"/>
        </w:rPr>
        <w:t>个标段的中标资格，自动放弃</w:t>
      </w:r>
      <w:r w:rsidRPr="003D0129">
        <w:rPr>
          <w:rFonts w:hint="eastAsia"/>
          <w:b/>
          <w:sz w:val="24"/>
          <w:szCs w:val="24"/>
          <w:u w:val="single"/>
        </w:rPr>
        <w:t>后续</w:t>
      </w:r>
      <w:r w:rsidRPr="003D0129">
        <w:rPr>
          <w:b/>
          <w:sz w:val="24"/>
          <w:szCs w:val="24"/>
          <w:u w:val="single"/>
        </w:rPr>
        <w:t>标段的中标资格，</w:t>
      </w:r>
      <w:r w:rsidRPr="003D0129">
        <w:rPr>
          <w:rFonts w:hint="eastAsia"/>
          <w:b/>
          <w:sz w:val="24"/>
          <w:szCs w:val="24"/>
          <w:u w:val="single"/>
        </w:rPr>
        <w:t>由该标段</w:t>
      </w:r>
      <w:r w:rsidRPr="003D0129">
        <w:rPr>
          <w:b/>
          <w:sz w:val="24"/>
          <w:szCs w:val="24"/>
          <w:u w:val="single"/>
        </w:rPr>
        <w:t>原第二中标候选人中标</w:t>
      </w:r>
      <w:r w:rsidRPr="003D0129">
        <w:rPr>
          <w:rFonts w:hint="eastAsia"/>
          <w:b/>
          <w:sz w:val="24"/>
          <w:szCs w:val="24"/>
          <w:u w:val="single"/>
        </w:rPr>
        <w:t>，</w:t>
      </w:r>
      <w:r w:rsidRPr="003D0129">
        <w:rPr>
          <w:b/>
          <w:sz w:val="24"/>
          <w:szCs w:val="24"/>
          <w:u w:val="single"/>
        </w:rPr>
        <w:t>以此类推。</w:t>
      </w:r>
    </w:p>
    <w:p w:rsidR="00101DC4" w:rsidRPr="003D0129" w:rsidRDefault="00101DC4" w:rsidP="00101DC4">
      <w:pPr>
        <w:spacing w:line="360" w:lineRule="auto"/>
        <w:rPr>
          <w:rFonts w:ascii="宋体" w:hAnsi="宋体"/>
          <w:sz w:val="24"/>
          <w:shd w:val="pct10" w:color="auto" w:fill="FFFFFF"/>
        </w:rPr>
        <w:sectPr w:rsidR="00101DC4" w:rsidRPr="003D0129" w:rsidSect="0018101A">
          <w:headerReference w:type="default" r:id="rId6"/>
          <w:footerReference w:type="default" r:id="rId7"/>
          <w:pgSz w:w="11906" w:h="16838"/>
          <w:pgMar w:top="1134" w:right="1134" w:bottom="1134" w:left="1134" w:header="851" w:footer="851" w:gutter="0"/>
          <w:pgNumType w:start="0"/>
          <w:cols w:space="720"/>
          <w:titlePg/>
          <w:docGrid w:linePitch="312"/>
        </w:sectPr>
      </w:pPr>
    </w:p>
    <w:p w:rsidR="00101DC4" w:rsidRPr="003D0129" w:rsidRDefault="00101DC4" w:rsidP="00101DC4">
      <w:pPr>
        <w:spacing w:line="360" w:lineRule="auto"/>
        <w:rPr>
          <w:rFonts w:ascii="宋体" w:hAnsi="宋体" w:hint="eastAsia"/>
          <w:b/>
          <w:sz w:val="24"/>
        </w:rPr>
      </w:pPr>
      <w:r w:rsidRPr="003D0129">
        <w:rPr>
          <w:rFonts w:ascii="宋体" w:hAnsi="宋体" w:hint="eastAsia"/>
          <w:b/>
          <w:sz w:val="24"/>
        </w:rPr>
        <w:lastRenderedPageBreak/>
        <w:t>(六)</w:t>
      </w:r>
      <w:r w:rsidRPr="003D0129">
        <w:rPr>
          <w:rFonts w:ascii="宋体" w:hAnsi="宋体" w:hint="eastAsia"/>
          <w:b/>
          <w:kern w:val="0"/>
          <w:sz w:val="24"/>
          <w:szCs w:val="24"/>
          <w:u w:val="single"/>
        </w:rPr>
        <w:t xml:space="preserve"> 滨江区闻涛路及沿江景观带等公共绿地养护管理项目（标段四）</w:t>
      </w:r>
      <w:r w:rsidRPr="003D0129">
        <w:rPr>
          <w:rFonts w:ascii="宋体" w:hAnsi="宋体" w:hint="eastAsia"/>
          <w:b/>
          <w:sz w:val="24"/>
        </w:rPr>
        <w:t>：绿地概况表</w:t>
      </w:r>
    </w:p>
    <w:p w:rsidR="00101DC4" w:rsidRPr="003D0129" w:rsidRDefault="00101DC4" w:rsidP="00101DC4">
      <w:pPr>
        <w:spacing w:line="360" w:lineRule="auto"/>
        <w:rPr>
          <w:rFonts w:ascii="宋体" w:hAnsi="宋体" w:hint="eastAsia"/>
          <w:b/>
          <w:sz w:val="24"/>
        </w:rPr>
      </w:pPr>
    </w:p>
    <w:tbl>
      <w:tblPr>
        <w:tblW w:w="14434" w:type="dxa"/>
        <w:jc w:val="center"/>
        <w:tblInd w:w="95" w:type="dxa"/>
        <w:tblLook w:val="04A0"/>
      </w:tblPr>
      <w:tblGrid>
        <w:gridCol w:w="531"/>
        <w:gridCol w:w="1264"/>
        <w:gridCol w:w="1260"/>
        <w:gridCol w:w="848"/>
        <w:gridCol w:w="1479"/>
        <w:gridCol w:w="1364"/>
        <w:gridCol w:w="1280"/>
        <w:gridCol w:w="1140"/>
        <w:gridCol w:w="1100"/>
        <w:gridCol w:w="1005"/>
        <w:gridCol w:w="819"/>
        <w:gridCol w:w="1049"/>
        <w:gridCol w:w="763"/>
        <w:gridCol w:w="532"/>
      </w:tblGrid>
      <w:tr w:rsidR="00101DC4" w:rsidRPr="003D0129" w:rsidTr="00DA2B79">
        <w:trPr>
          <w:trHeight w:val="376"/>
          <w:jc w:val="center"/>
        </w:trPr>
        <w:tc>
          <w:tcPr>
            <w:tcW w:w="0" w:type="auto"/>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b/>
                <w:bCs/>
                <w:kern w:val="0"/>
                <w:sz w:val="28"/>
                <w:szCs w:val="28"/>
              </w:rPr>
            </w:pPr>
            <w:r w:rsidRPr="003D0129">
              <w:rPr>
                <w:rFonts w:ascii="宋体" w:hAnsi="宋体" w:cs="宋体" w:hint="eastAsia"/>
                <w:b/>
                <w:bCs/>
                <w:kern w:val="0"/>
                <w:sz w:val="28"/>
                <w:szCs w:val="28"/>
              </w:rPr>
              <w:t>滨江区闻涛路及沿江景观带等公共绿地养护管理项目（标段四）</w:t>
            </w:r>
          </w:p>
        </w:tc>
      </w:tr>
      <w:tr w:rsidR="00101DC4" w:rsidRPr="003D0129" w:rsidTr="00DA2B79">
        <w:trPr>
          <w:trHeight w:val="286"/>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序号</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绿地名称</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范围简述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绿地等级</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养护内容</w:t>
            </w:r>
          </w:p>
        </w:tc>
      </w:tr>
      <w:tr w:rsidR="00101DC4" w:rsidRPr="003D0129" w:rsidTr="00DA2B79">
        <w:trPr>
          <w:trHeight w:val="271"/>
          <w:jc w:val="center"/>
        </w:trPr>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1264"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126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绿地总面积（㎡）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绿地面积（㎡）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时花面积（㎡）</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常绿草面积（㎡）</w:t>
            </w:r>
          </w:p>
        </w:tc>
        <w:tc>
          <w:tcPr>
            <w:tcW w:w="2924" w:type="dxa"/>
            <w:gridSpan w:val="3"/>
            <w:tcBorders>
              <w:top w:val="single" w:sz="4" w:space="0" w:color="auto"/>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行道树</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挂箱（只）</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园林设施</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其它</w:t>
            </w:r>
          </w:p>
        </w:tc>
      </w:tr>
      <w:tr w:rsidR="00101DC4" w:rsidRPr="003D0129" w:rsidTr="00DA2B79">
        <w:trPr>
          <w:trHeight w:val="271"/>
          <w:jc w:val="center"/>
        </w:trPr>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1264"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126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114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品种</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规格</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数量</w:t>
            </w: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r>
      <w:tr w:rsidR="00101DC4" w:rsidRPr="003D0129" w:rsidTr="00DA2B79">
        <w:trPr>
          <w:trHeight w:val="271"/>
          <w:jc w:val="center"/>
        </w:trPr>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1264"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126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114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110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(胸径cm)</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b/>
                <w:bCs/>
                <w:kern w:val="0"/>
                <w:sz w:val="20"/>
              </w:rPr>
            </w:pPr>
            <w:r w:rsidRPr="003D0129">
              <w:rPr>
                <w:rFonts w:ascii="宋体" w:hAnsi="宋体" w:cs="宋体" w:hint="eastAsia"/>
                <w:b/>
                <w:bCs/>
                <w:kern w:val="0"/>
                <w:sz w:val="20"/>
              </w:rPr>
              <w:t>（株）</w:t>
            </w: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b/>
                <w:bCs/>
                <w:kern w:val="0"/>
                <w:sz w:val="20"/>
              </w:rPr>
            </w:pPr>
          </w:p>
        </w:tc>
      </w:tr>
      <w:tr w:rsidR="00101DC4" w:rsidRPr="003D0129" w:rsidTr="00DA2B79">
        <w:trPr>
          <w:trHeight w:val="271"/>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2"/>
                <w:szCs w:val="22"/>
              </w:rPr>
            </w:pPr>
            <w:r w:rsidRPr="003D0129">
              <w:rPr>
                <w:rFonts w:ascii="宋体" w:hAnsi="宋体" w:cs="宋体" w:hint="eastAsia"/>
                <w:kern w:val="0"/>
                <w:sz w:val="22"/>
                <w:szCs w:val="22"/>
              </w:rPr>
              <w:t>1</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闻涛路及沿江景观带</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left"/>
              <w:rPr>
                <w:rFonts w:ascii="宋体" w:hAnsi="宋体" w:cs="宋体"/>
                <w:kern w:val="0"/>
                <w:sz w:val="20"/>
              </w:rPr>
            </w:pPr>
            <w:r w:rsidRPr="003D0129">
              <w:rPr>
                <w:rFonts w:ascii="宋体" w:hAnsi="宋体" w:cs="宋体" w:hint="eastAsia"/>
                <w:kern w:val="0"/>
                <w:sz w:val="20"/>
              </w:rPr>
              <w:t>东：伟业路</w:t>
            </w:r>
            <w:r w:rsidRPr="003D0129">
              <w:rPr>
                <w:rFonts w:ascii="宋体" w:hAnsi="宋体" w:cs="宋体" w:hint="eastAsia"/>
                <w:kern w:val="0"/>
                <w:sz w:val="20"/>
              </w:rPr>
              <w:br/>
              <w:t>南：东信大道西</w:t>
            </w:r>
            <w:r w:rsidRPr="003D0129">
              <w:rPr>
                <w:rFonts w:ascii="宋体" w:hAnsi="宋体" w:cs="宋体" w:hint="eastAsia"/>
                <w:kern w:val="0"/>
                <w:sz w:val="20"/>
              </w:rPr>
              <w:br/>
              <w:t>西：</w:t>
            </w:r>
            <w:r w:rsidRPr="003D0129">
              <w:rPr>
                <w:rFonts w:ascii="宋体" w:hAnsi="宋体" w:cs="宋体" w:hint="eastAsia"/>
                <w:kern w:val="0"/>
                <w:sz w:val="20"/>
              </w:rPr>
              <w:br/>
              <w:t>北：</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二级</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166802.5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166692.5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110</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香樟</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Φ15-25</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254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r>
      <w:tr w:rsidR="00101DC4" w:rsidRPr="003D0129" w:rsidTr="00DA2B79">
        <w:trPr>
          <w:trHeight w:val="271"/>
          <w:jc w:val="center"/>
        </w:trPr>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26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14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100"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香樟</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Φ25-40</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34</w:t>
            </w: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r>
      <w:tr w:rsidR="00101DC4" w:rsidRPr="003D0129" w:rsidTr="00DA2B79">
        <w:trPr>
          <w:trHeight w:val="271"/>
          <w:jc w:val="center"/>
        </w:trPr>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26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14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100"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黄山栾树</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Φ15-25</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15</w:t>
            </w: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r>
      <w:tr w:rsidR="00101DC4" w:rsidRPr="003D0129" w:rsidTr="00DA2B79">
        <w:trPr>
          <w:trHeight w:val="271"/>
          <w:jc w:val="center"/>
        </w:trPr>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26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14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100"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日本早樱</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Φ&lt;10</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22</w:t>
            </w: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r>
      <w:tr w:rsidR="00101DC4" w:rsidRPr="003D0129" w:rsidTr="00DA2B79">
        <w:trPr>
          <w:trHeight w:val="271"/>
          <w:jc w:val="center"/>
        </w:trPr>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26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140" w:type="dxa"/>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1100"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日本早樱</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Φ10-15</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726</w:t>
            </w: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c>
          <w:tcPr>
            <w:tcW w:w="0" w:type="auto"/>
            <w:vMerge/>
            <w:tcBorders>
              <w:top w:val="nil"/>
              <w:left w:val="single" w:sz="4" w:space="0" w:color="auto"/>
              <w:bottom w:val="single" w:sz="4" w:space="0" w:color="auto"/>
              <w:right w:val="single" w:sz="4" w:space="0" w:color="auto"/>
            </w:tcBorders>
            <w:vAlign w:val="center"/>
            <w:hideMark/>
          </w:tcPr>
          <w:p w:rsidR="00101DC4" w:rsidRPr="003D0129" w:rsidRDefault="00101DC4" w:rsidP="00DA2B79">
            <w:pPr>
              <w:widowControl/>
              <w:jc w:val="left"/>
              <w:rPr>
                <w:rFonts w:ascii="宋体" w:hAnsi="宋体" w:cs="宋体"/>
                <w:kern w:val="0"/>
                <w:sz w:val="20"/>
              </w:rPr>
            </w:pPr>
          </w:p>
        </w:tc>
      </w:tr>
      <w:tr w:rsidR="00101DC4" w:rsidRPr="003D0129" w:rsidTr="00DA2B79">
        <w:trPr>
          <w:trHeight w:val="9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2</w:t>
            </w:r>
          </w:p>
        </w:tc>
        <w:tc>
          <w:tcPr>
            <w:tcW w:w="1264"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闻涛路</w:t>
            </w:r>
          </w:p>
        </w:tc>
        <w:tc>
          <w:tcPr>
            <w:tcW w:w="1260"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left"/>
              <w:rPr>
                <w:rFonts w:ascii="宋体" w:hAnsi="宋体" w:cs="宋体"/>
                <w:kern w:val="0"/>
                <w:sz w:val="20"/>
              </w:rPr>
            </w:pPr>
            <w:r w:rsidRPr="003D0129">
              <w:rPr>
                <w:rFonts w:ascii="宋体" w:hAnsi="宋体" w:cs="宋体" w:hint="eastAsia"/>
                <w:kern w:val="0"/>
                <w:sz w:val="20"/>
              </w:rPr>
              <w:t>东：</w:t>
            </w:r>
            <w:r w:rsidRPr="003D0129">
              <w:rPr>
                <w:rFonts w:ascii="宋体" w:hAnsi="宋体" w:cs="宋体" w:hint="eastAsia"/>
                <w:kern w:val="0"/>
                <w:sz w:val="20"/>
              </w:rPr>
              <w:br/>
              <w:t>南：华家排灌站</w:t>
            </w:r>
            <w:r w:rsidRPr="003D0129">
              <w:rPr>
                <w:rFonts w:ascii="宋体" w:hAnsi="宋体" w:cs="宋体" w:hint="eastAsia"/>
                <w:kern w:val="0"/>
                <w:sz w:val="20"/>
              </w:rPr>
              <w:br/>
              <w:t>西：</w:t>
            </w:r>
            <w:r w:rsidRPr="003D0129">
              <w:rPr>
                <w:rFonts w:ascii="宋体" w:hAnsi="宋体" w:cs="宋体" w:hint="eastAsia"/>
                <w:kern w:val="0"/>
                <w:sz w:val="20"/>
              </w:rPr>
              <w:br/>
              <w:t>北：浦乐路</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二级</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818</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818</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榉树</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Φ15-25</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r>
      <w:tr w:rsidR="00101DC4" w:rsidRPr="003D0129" w:rsidTr="00DA2B79">
        <w:trPr>
          <w:trHeight w:val="9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3</w:t>
            </w:r>
          </w:p>
        </w:tc>
        <w:tc>
          <w:tcPr>
            <w:tcW w:w="1264"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沿江景观带        </w:t>
            </w:r>
          </w:p>
        </w:tc>
        <w:tc>
          <w:tcPr>
            <w:tcW w:w="1260"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left"/>
              <w:rPr>
                <w:rFonts w:ascii="宋体" w:hAnsi="宋体" w:cs="宋体"/>
                <w:kern w:val="0"/>
                <w:sz w:val="20"/>
              </w:rPr>
            </w:pPr>
            <w:r w:rsidRPr="003D0129">
              <w:rPr>
                <w:rFonts w:ascii="宋体" w:hAnsi="宋体" w:cs="宋体" w:hint="eastAsia"/>
                <w:kern w:val="0"/>
                <w:sz w:val="20"/>
              </w:rPr>
              <w:t>东：</w:t>
            </w:r>
            <w:r w:rsidRPr="003D0129">
              <w:rPr>
                <w:rFonts w:ascii="宋体" w:hAnsi="宋体" w:cs="宋体" w:hint="eastAsia"/>
                <w:kern w:val="0"/>
                <w:sz w:val="20"/>
              </w:rPr>
              <w:br/>
              <w:t>南：华家排灌站</w:t>
            </w:r>
            <w:r w:rsidRPr="003D0129">
              <w:rPr>
                <w:rFonts w:ascii="宋体" w:hAnsi="宋体" w:cs="宋体" w:hint="eastAsia"/>
                <w:kern w:val="0"/>
                <w:sz w:val="20"/>
              </w:rPr>
              <w:br/>
              <w:t>西：</w:t>
            </w:r>
            <w:r w:rsidRPr="003D0129">
              <w:rPr>
                <w:rFonts w:ascii="宋体" w:hAnsi="宋体" w:cs="宋体" w:hint="eastAsia"/>
                <w:kern w:val="0"/>
                <w:sz w:val="20"/>
              </w:rPr>
              <w:br/>
              <w:t>北：浦乐路</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二级</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17992</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7515</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10477</w:t>
            </w:r>
          </w:p>
        </w:tc>
        <w:tc>
          <w:tcPr>
            <w:tcW w:w="1100" w:type="dxa"/>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r>
      <w:tr w:rsidR="00101DC4" w:rsidRPr="003D0129" w:rsidTr="00DA2B79">
        <w:trPr>
          <w:trHeight w:val="27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1264"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合计</w:t>
            </w:r>
          </w:p>
        </w:tc>
        <w:tc>
          <w:tcPr>
            <w:tcW w:w="1260"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185612.5</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175025.5</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110</w:t>
            </w:r>
          </w:p>
        </w:tc>
        <w:tc>
          <w:tcPr>
            <w:tcW w:w="1140"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10477</w:t>
            </w:r>
          </w:p>
        </w:tc>
        <w:tc>
          <w:tcPr>
            <w:tcW w:w="1100" w:type="dxa"/>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1151</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宋体" w:hAnsi="宋体" w:cs="宋体"/>
                <w:kern w:val="0"/>
                <w:sz w:val="20"/>
              </w:rPr>
            </w:pPr>
            <w:r w:rsidRPr="003D0129">
              <w:rPr>
                <w:rFonts w:ascii="宋体" w:hAnsi="宋体"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01DC4" w:rsidRPr="003D0129" w:rsidRDefault="00101DC4" w:rsidP="00DA2B79">
            <w:pPr>
              <w:widowControl/>
              <w:jc w:val="center"/>
              <w:rPr>
                <w:rFonts w:ascii="Calibri" w:hAnsi="Calibri" w:cs="Calibri"/>
                <w:kern w:val="0"/>
                <w:sz w:val="20"/>
              </w:rPr>
            </w:pPr>
            <w:r w:rsidRPr="003D0129">
              <w:rPr>
                <w:rFonts w:ascii="Calibri" w:hAnsi="Calibri" w:cs="Calibri"/>
                <w:kern w:val="0"/>
                <w:sz w:val="20"/>
              </w:rPr>
              <w:t xml:space="preserve">　</w:t>
            </w:r>
          </w:p>
        </w:tc>
      </w:tr>
    </w:tbl>
    <w:p w:rsidR="00101DC4" w:rsidRPr="003D0129" w:rsidRDefault="00101DC4" w:rsidP="00101DC4">
      <w:pPr>
        <w:spacing w:line="360" w:lineRule="auto"/>
        <w:rPr>
          <w:rFonts w:ascii="宋体" w:hAnsi="宋体" w:hint="eastAsia"/>
          <w:b/>
          <w:sz w:val="24"/>
        </w:rPr>
      </w:pPr>
    </w:p>
    <w:p w:rsidR="00101DC4" w:rsidRPr="003D0129" w:rsidRDefault="00101DC4" w:rsidP="00101DC4">
      <w:pPr>
        <w:spacing w:line="360" w:lineRule="auto"/>
        <w:rPr>
          <w:rFonts w:ascii="宋体" w:hAnsi="宋体" w:hint="eastAsia"/>
          <w:b/>
          <w:sz w:val="24"/>
        </w:rPr>
      </w:pPr>
    </w:p>
    <w:p w:rsidR="00101DC4" w:rsidRPr="003D0129" w:rsidRDefault="00101DC4" w:rsidP="00101DC4">
      <w:pPr>
        <w:spacing w:line="360" w:lineRule="auto"/>
        <w:rPr>
          <w:rFonts w:ascii="宋体" w:hAnsi="宋体"/>
          <w:b/>
          <w:sz w:val="24"/>
        </w:rPr>
        <w:sectPr w:rsidR="00101DC4" w:rsidRPr="003D0129">
          <w:pgSz w:w="16838" w:h="11906" w:orient="landscape"/>
          <w:pgMar w:top="1259" w:right="777" w:bottom="1106" w:left="1247" w:header="851" w:footer="850" w:gutter="0"/>
          <w:cols w:space="720"/>
          <w:docGrid w:linePitch="312"/>
        </w:sectPr>
      </w:pPr>
    </w:p>
    <w:p w:rsidR="00101DC4" w:rsidRPr="003D0129" w:rsidRDefault="00101DC4" w:rsidP="00101DC4">
      <w:pPr>
        <w:spacing w:line="360" w:lineRule="auto"/>
        <w:outlineLvl w:val="0"/>
        <w:rPr>
          <w:rFonts w:ascii="宋体" w:hAnsi="宋体"/>
          <w:b/>
          <w:bCs/>
          <w:sz w:val="24"/>
        </w:rPr>
      </w:pPr>
      <w:r w:rsidRPr="003D0129">
        <w:rPr>
          <w:rFonts w:ascii="宋体" w:hAnsi="宋体"/>
          <w:b/>
          <w:bCs/>
          <w:sz w:val="24"/>
        </w:rPr>
        <w:lastRenderedPageBreak/>
        <w:t>二、技术需求表</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23"/>
        <w:gridCol w:w="7419"/>
      </w:tblGrid>
      <w:tr w:rsidR="00101DC4" w:rsidRPr="003D0129" w:rsidTr="00DA2B79">
        <w:trPr>
          <w:trHeight w:val="957"/>
          <w:jc w:val="center"/>
        </w:trPr>
        <w:tc>
          <w:tcPr>
            <w:tcW w:w="1823"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rPr>
                <w:rFonts w:ascii="宋体" w:hAnsi="宋体"/>
                <w:sz w:val="24"/>
              </w:rPr>
            </w:pPr>
            <w:r w:rsidRPr="003D0129">
              <w:rPr>
                <w:rFonts w:ascii="宋体" w:hAnsi="宋体"/>
                <w:sz w:val="24"/>
              </w:rPr>
              <w:t>质量标准</w:t>
            </w:r>
          </w:p>
        </w:tc>
        <w:tc>
          <w:tcPr>
            <w:tcW w:w="7419"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rPr>
                <w:rFonts w:ascii="宋体" w:hAnsi="宋体"/>
                <w:sz w:val="24"/>
              </w:rPr>
            </w:pPr>
            <w:r w:rsidRPr="003D0129">
              <w:rPr>
                <w:rFonts w:ascii="宋体" w:hAnsi="宋体" w:hint="eastAsia"/>
                <w:sz w:val="24"/>
              </w:rPr>
              <w:t>养护质量达到《杭州市城区绿地养护质量标准》和《滨江区公共绿地养护管理考核办法》</w:t>
            </w:r>
            <w:r w:rsidRPr="003D0129">
              <w:rPr>
                <w:rFonts w:ascii="宋体" w:hAnsi="宋体" w:cs="宋体" w:hint="eastAsia"/>
                <w:spacing w:val="4"/>
                <w:kern w:val="0"/>
                <w:sz w:val="24"/>
                <w:szCs w:val="24"/>
              </w:rPr>
              <w:t>要求</w:t>
            </w:r>
            <w:r w:rsidRPr="003D0129">
              <w:rPr>
                <w:rFonts w:ascii="宋体" w:hAnsi="宋体" w:hint="eastAsia"/>
                <w:sz w:val="24"/>
              </w:rPr>
              <w:t>；</w:t>
            </w:r>
          </w:p>
        </w:tc>
      </w:tr>
      <w:tr w:rsidR="00101DC4" w:rsidRPr="003D0129" w:rsidTr="00DA2B79">
        <w:trPr>
          <w:trHeight w:val="920"/>
          <w:jc w:val="center"/>
        </w:trPr>
        <w:tc>
          <w:tcPr>
            <w:tcW w:w="1823"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rPr>
                <w:rFonts w:ascii="宋体" w:hAnsi="宋体"/>
                <w:sz w:val="24"/>
              </w:rPr>
            </w:pPr>
            <w:r w:rsidRPr="003D0129">
              <w:rPr>
                <w:rFonts w:ascii="宋体" w:hAnsi="宋体"/>
                <w:sz w:val="24"/>
              </w:rPr>
              <w:t>验收条件及标准</w:t>
            </w:r>
          </w:p>
        </w:tc>
        <w:tc>
          <w:tcPr>
            <w:tcW w:w="7419"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jc w:val="left"/>
              <w:rPr>
                <w:rFonts w:ascii="宋体" w:hAnsi="宋体"/>
                <w:sz w:val="24"/>
              </w:rPr>
            </w:pPr>
            <w:r w:rsidRPr="003D0129">
              <w:rPr>
                <w:rFonts w:ascii="宋体" w:hAnsi="宋体" w:hint="eastAsia"/>
                <w:sz w:val="24"/>
              </w:rPr>
              <w:t>同上</w:t>
            </w:r>
          </w:p>
        </w:tc>
      </w:tr>
    </w:tbl>
    <w:p w:rsidR="00101DC4" w:rsidRPr="003D0129" w:rsidRDefault="00101DC4" w:rsidP="00101DC4">
      <w:pPr>
        <w:spacing w:beforeLines="50" w:afterLines="50" w:line="360" w:lineRule="auto"/>
        <w:rPr>
          <w:rFonts w:ascii="宋体" w:hAnsi="宋体"/>
          <w:b/>
          <w:bCs/>
          <w:sz w:val="24"/>
        </w:rPr>
      </w:pPr>
      <w:r w:rsidRPr="003D0129">
        <w:rPr>
          <w:rFonts w:ascii="宋体" w:hAnsi="宋体"/>
          <w:b/>
          <w:bCs/>
          <w:sz w:val="24"/>
        </w:rPr>
        <w:t>三、商务要求表</w:t>
      </w:r>
    </w:p>
    <w:tbl>
      <w:tblPr>
        <w:tblW w:w="906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13"/>
        <w:gridCol w:w="7252"/>
      </w:tblGrid>
      <w:tr w:rsidR="00101DC4" w:rsidRPr="003D0129" w:rsidTr="00DA2B79">
        <w:trPr>
          <w:trHeight w:val="679"/>
          <w:jc w:val="center"/>
        </w:trPr>
        <w:tc>
          <w:tcPr>
            <w:tcW w:w="1813"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rPr>
                <w:rFonts w:ascii="宋体" w:hAnsi="宋体"/>
                <w:sz w:val="24"/>
              </w:rPr>
            </w:pPr>
            <w:r w:rsidRPr="003D0129">
              <w:rPr>
                <w:rFonts w:ascii="宋体" w:hAnsi="宋体" w:hint="eastAsia"/>
                <w:sz w:val="24"/>
              </w:rPr>
              <w:t>服务期</w:t>
            </w:r>
          </w:p>
        </w:tc>
        <w:tc>
          <w:tcPr>
            <w:tcW w:w="7252"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jc w:val="left"/>
              <w:rPr>
                <w:rFonts w:ascii="宋体" w:hAnsi="宋体"/>
                <w:kern w:val="0"/>
                <w:sz w:val="24"/>
                <w:szCs w:val="24"/>
              </w:rPr>
            </w:pPr>
            <w:r w:rsidRPr="003D0129">
              <w:rPr>
                <w:rFonts w:ascii="宋体" w:hAnsi="宋体" w:hint="eastAsia"/>
                <w:sz w:val="24"/>
              </w:rPr>
              <w:t>养护</w:t>
            </w:r>
            <w:r w:rsidRPr="003D0129">
              <w:rPr>
                <w:rFonts w:ascii="宋体" w:hAnsi="宋体"/>
                <w:sz w:val="24"/>
              </w:rPr>
              <w:t>服务期</w:t>
            </w:r>
            <w:r w:rsidRPr="003D0129">
              <w:rPr>
                <w:rFonts w:ascii="宋体" w:hAnsi="宋体" w:hint="eastAsia"/>
                <w:sz w:val="24"/>
              </w:rPr>
              <w:t>为27个月。暂定</w:t>
            </w:r>
            <w:r w:rsidRPr="003D0129">
              <w:rPr>
                <w:rFonts w:ascii="宋体" w:hAnsi="宋体"/>
                <w:sz w:val="24"/>
              </w:rPr>
              <w:t>20</w:t>
            </w:r>
            <w:r w:rsidRPr="003D0129">
              <w:rPr>
                <w:rFonts w:ascii="宋体" w:hAnsi="宋体" w:hint="eastAsia"/>
                <w:sz w:val="24"/>
              </w:rPr>
              <w:t>20</w:t>
            </w:r>
            <w:r w:rsidRPr="003D0129">
              <w:rPr>
                <w:rFonts w:ascii="宋体" w:hAnsi="宋体"/>
                <w:sz w:val="24"/>
              </w:rPr>
              <w:t>年</w:t>
            </w:r>
            <w:r w:rsidRPr="003D0129">
              <w:rPr>
                <w:rFonts w:ascii="宋体" w:hAnsi="宋体" w:hint="eastAsia"/>
                <w:sz w:val="24"/>
              </w:rPr>
              <w:t>1</w:t>
            </w:r>
            <w:r w:rsidRPr="003D0129">
              <w:rPr>
                <w:rFonts w:ascii="宋体" w:hAnsi="宋体"/>
                <w:sz w:val="24"/>
              </w:rPr>
              <w:t>月1日—20</w:t>
            </w:r>
            <w:r w:rsidRPr="003D0129">
              <w:rPr>
                <w:rFonts w:ascii="宋体" w:hAnsi="宋体" w:hint="eastAsia"/>
                <w:sz w:val="24"/>
              </w:rPr>
              <w:t>22</w:t>
            </w:r>
            <w:r w:rsidRPr="003D0129">
              <w:rPr>
                <w:rFonts w:ascii="宋体" w:hAnsi="宋体"/>
                <w:sz w:val="24"/>
              </w:rPr>
              <w:t>年</w:t>
            </w:r>
            <w:r w:rsidRPr="003D0129">
              <w:rPr>
                <w:rFonts w:ascii="宋体" w:hAnsi="宋体" w:hint="eastAsia"/>
                <w:sz w:val="24"/>
              </w:rPr>
              <w:t>3</w:t>
            </w:r>
            <w:r w:rsidRPr="003D0129">
              <w:rPr>
                <w:rFonts w:ascii="宋体" w:hAnsi="宋体"/>
                <w:sz w:val="24"/>
              </w:rPr>
              <w:t>月</w:t>
            </w:r>
            <w:r w:rsidRPr="003D0129">
              <w:rPr>
                <w:rFonts w:ascii="宋体" w:hAnsi="宋体" w:hint="eastAsia"/>
                <w:sz w:val="24"/>
              </w:rPr>
              <w:t>31</w:t>
            </w:r>
            <w:r w:rsidRPr="003D0129">
              <w:rPr>
                <w:rFonts w:ascii="宋体" w:hAnsi="宋体"/>
                <w:sz w:val="24"/>
              </w:rPr>
              <w:t>日，</w:t>
            </w:r>
            <w:r w:rsidRPr="003D0129">
              <w:rPr>
                <w:rFonts w:ascii="宋体" w:hAnsi="宋体" w:hint="eastAsia"/>
                <w:sz w:val="24"/>
              </w:rPr>
              <w:t>实际的养护工作时间以合同签订时间为准</w:t>
            </w:r>
            <w:r w:rsidRPr="003D0129">
              <w:rPr>
                <w:rFonts w:ascii="宋体" w:hAnsi="宋体"/>
                <w:sz w:val="24"/>
              </w:rPr>
              <w:t>。</w:t>
            </w:r>
            <w:r w:rsidRPr="003D0129">
              <w:rPr>
                <w:rFonts w:ascii="宋体" w:hAnsi="宋体" w:hint="eastAsia"/>
                <w:sz w:val="24"/>
              </w:rPr>
              <w:t>中标供应商在合同期内每年度达到采购人总体考核要求的，养护合同继续执行。</w:t>
            </w:r>
          </w:p>
        </w:tc>
      </w:tr>
      <w:tr w:rsidR="00101DC4" w:rsidRPr="003D0129" w:rsidTr="00DA2B79">
        <w:trPr>
          <w:trHeight w:val="646"/>
          <w:jc w:val="center"/>
        </w:trPr>
        <w:tc>
          <w:tcPr>
            <w:tcW w:w="1813"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rPr>
                <w:rFonts w:ascii="宋体" w:hAnsi="宋体"/>
                <w:sz w:val="24"/>
              </w:rPr>
            </w:pPr>
            <w:r w:rsidRPr="003D0129">
              <w:rPr>
                <w:rFonts w:ascii="宋体" w:hAnsi="宋体" w:hint="eastAsia"/>
                <w:sz w:val="24"/>
              </w:rPr>
              <w:t>服务地点</w:t>
            </w:r>
          </w:p>
        </w:tc>
        <w:tc>
          <w:tcPr>
            <w:tcW w:w="7252"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rPr>
                <w:rFonts w:ascii="宋体" w:hAnsi="宋体"/>
                <w:sz w:val="24"/>
              </w:rPr>
            </w:pPr>
            <w:r w:rsidRPr="003D0129">
              <w:rPr>
                <w:rFonts w:ascii="宋体" w:hAnsi="宋体" w:hint="eastAsia"/>
                <w:sz w:val="24"/>
              </w:rPr>
              <w:t>杭州市滨江区。</w:t>
            </w:r>
          </w:p>
        </w:tc>
      </w:tr>
      <w:tr w:rsidR="00101DC4" w:rsidRPr="003D0129" w:rsidTr="00DA2B79">
        <w:trPr>
          <w:trHeight w:val="783"/>
          <w:jc w:val="center"/>
        </w:trPr>
        <w:tc>
          <w:tcPr>
            <w:tcW w:w="1813"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rPr>
                <w:rFonts w:ascii="宋体" w:hAnsi="宋体"/>
                <w:sz w:val="24"/>
              </w:rPr>
            </w:pPr>
            <w:r w:rsidRPr="003D0129">
              <w:rPr>
                <w:rFonts w:ascii="宋体" w:hAnsi="宋体" w:hint="eastAsia"/>
                <w:sz w:val="24"/>
              </w:rPr>
              <w:t>付款办法</w:t>
            </w:r>
          </w:p>
        </w:tc>
        <w:tc>
          <w:tcPr>
            <w:tcW w:w="7252"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jc w:val="left"/>
              <w:rPr>
                <w:rFonts w:ascii="宋体" w:hAnsi="宋体"/>
                <w:sz w:val="24"/>
              </w:rPr>
            </w:pPr>
            <w:r w:rsidRPr="003D0129">
              <w:rPr>
                <w:rFonts w:ascii="宋体" w:hAnsi="宋体" w:hint="eastAsia"/>
                <w:sz w:val="24"/>
              </w:rPr>
              <w:t>结合考核</w:t>
            </w:r>
            <w:r w:rsidRPr="003D0129">
              <w:rPr>
                <w:rFonts w:ascii="宋体" w:hAnsi="宋体" w:hint="eastAsia"/>
                <w:sz w:val="24"/>
                <w:szCs w:val="24"/>
              </w:rPr>
              <w:t>结果按</w:t>
            </w:r>
            <w:r w:rsidRPr="003D0129">
              <w:rPr>
                <w:rFonts w:ascii="宋体" w:hAnsi="宋体" w:hint="eastAsia"/>
                <w:sz w:val="24"/>
              </w:rPr>
              <w:t>季进行</w:t>
            </w:r>
            <w:r w:rsidRPr="003D0129">
              <w:rPr>
                <w:rFonts w:ascii="宋体" w:hAnsi="宋体" w:hint="eastAsia"/>
                <w:sz w:val="24"/>
                <w:szCs w:val="24"/>
              </w:rPr>
              <w:t>支付（扣除相应处罚款项）。</w:t>
            </w:r>
          </w:p>
        </w:tc>
      </w:tr>
    </w:tbl>
    <w:p w:rsidR="00101DC4" w:rsidRPr="003D0129" w:rsidRDefault="00101DC4" w:rsidP="00101DC4">
      <w:pPr>
        <w:spacing w:beforeLines="50" w:afterLines="50" w:line="360" w:lineRule="auto"/>
        <w:rPr>
          <w:rFonts w:ascii="宋体" w:hAnsi="宋体"/>
          <w:b/>
          <w:bCs/>
          <w:sz w:val="24"/>
        </w:rPr>
      </w:pPr>
      <w:r w:rsidRPr="003D0129">
        <w:rPr>
          <w:rFonts w:ascii="宋体" w:hAnsi="宋体" w:hint="eastAsia"/>
          <w:b/>
          <w:bCs/>
          <w:sz w:val="24"/>
        </w:rPr>
        <w:t>四、供应商的资格要求表</w:t>
      </w:r>
    </w:p>
    <w:tbl>
      <w:tblPr>
        <w:tblW w:w="91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85"/>
        <w:gridCol w:w="7296"/>
      </w:tblGrid>
      <w:tr w:rsidR="00101DC4" w:rsidRPr="003D0129" w:rsidTr="00DA2B79">
        <w:trPr>
          <w:trHeight w:val="360"/>
          <w:jc w:val="center"/>
        </w:trPr>
        <w:tc>
          <w:tcPr>
            <w:tcW w:w="1885"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jc w:val="center"/>
              <w:rPr>
                <w:rFonts w:ascii="宋体" w:hAnsi="宋体"/>
                <w:sz w:val="24"/>
              </w:rPr>
            </w:pPr>
            <w:r w:rsidRPr="003D0129">
              <w:rPr>
                <w:rFonts w:ascii="宋体" w:hAnsi="宋体" w:cs="Arial" w:hint="eastAsia"/>
                <w:bCs/>
                <w:sz w:val="24"/>
                <w:szCs w:val="24"/>
              </w:rPr>
              <w:t>资格及能力要求</w:t>
            </w:r>
          </w:p>
        </w:tc>
        <w:tc>
          <w:tcPr>
            <w:tcW w:w="7296" w:type="dxa"/>
            <w:tcBorders>
              <w:top w:val="single" w:sz="4" w:space="0" w:color="auto"/>
              <w:left w:val="single" w:sz="4" w:space="0" w:color="auto"/>
              <w:bottom w:val="single" w:sz="4" w:space="0" w:color="auto"/>
              <w:right w:val="single" w:sz="4" w:space="0" w:color="auto"/>
            </w:tcBorders>
            <w:vAlign w:val="center"/>
          </w:tcPr>
          <w:p w:rsidR="00101DC4" w:rsidRPr="003D0129" w:rsidRDefault="00101DC4" w:rsidP="00DA2B79">
            <w:pPr>
              <w:snapToGrid w:val="0"/>
              <w:spacing w:line="360" w:lineRule="auto"/>
              <w:ind w:rightChars="134" w:right="281" w:firstLineChars="200" w:firstLine="480"/>
              <w:rPr>
                <w:rFonts w:ascii="宋体" w:hAnsi="宋体" w:cs="Arial"/>
                <w:bCs/>
                <w:sz w:val="24"/>
                <w:szCs w:val="24"/>
              </w:rPr>
            </w:pPr>
            <w:r w:rsidRPr="003D0129">
              <w:rPr>
                <w:rFonts w:ascii="宋体" w:hAnsi="宋体" w:cs="Arial" w:hint="eastAsia"/>
                <w:bCs/>
                <w:sz w:val="24"/>
                <w:szCs w:val="24"/>
              </w:rPr>
              <w:t>1、基本资格条件：符合《中华人民共和国政府采购法》第二十二条的规定；</w:t>
            </w:r>
            <w:r w:rsidRPr="003D0129">
              <w:rPr>
                <w:rFonts w:hAnsi="宋体" w:hint="eastAsia"/>
                <w:sz w:val="24"/>
              </w:rPr>
              <w:t>未被“信用中国”（</w:t>
            </w:r>
            <w:r w:rsidRPr="003D0129">
              <w:rPr>
                <w:rFonts w:hAnsi="宋体" w:hint="eastAsia"/>
                <w:sz w:val="24"/>
              </w:rPr>
              <w:t>www.creditchina.gov.cn</w:t>
            </w:r>
            <w:r w:rsidRPr="003D0129">
              <w:rPr>
                <w:rFonts w:hAnsi="宋体" w:hint="eastAsia"/>
                <w:sz w:val="24"/>
              </w:rPr>
              <w:t>）、中国政府采购网（</w:t>
            </w:r>
            <w:r w:rsidRPr="003D0129">
              <w:rPr>
                <w:rFonts w:hAnsi="宋体" w:hint="eastAsia"/>
                <w:sz w:val="24"/>
              </w:rPr>
              <w:t>www.ccgp.gov.cn</w:t>
            </w:r>
            <w:r w:rsidRPr="003D0129">
              <w:rPr>
                <w:rFonts w:hAnsi="宋体" w:hint="eastAsia"/>
                <w:sz w:val="24"/>
              </w:rPr>
              <w:t>）列入失信被执行人、重大税收违法案件当事人名单、政府采购严重违法失信行为记录名单。</w:t>
            </w:r>
          </w:p>
          <w:p w:rsidR="00101DC4" w:rsidRPr="003D0129" w:rsidRDefault="00101DC4" w:rsidP="00DA2B79">
            <w:pPr>
              <w:snapToGrid w:val="0"/>
              <w:spacing w:line="360" w:lineRule="auto"/>
              <w:ind w:rightChars="134" w:right="281" w:firstLineChars="200" w:firstLine="480"/>
              <w:rPr>
                <w:rFonts w:ascii="宋体" w:hAnsi="宋体" w:cs="宋体"/>
                <w:kern w:val="0"/>
                <w:sz w:val="24"/>
                <w:szCs w:val="24"/>
              </w:rPr>
            </w:pPr>
            <w:r w:rsidRPr="003D0129">
              <w:rPr>
                <w:rFonts w:ascii="宋体" w:hAnsi="宋体" w:cs="Arial" w:hint="eastAsia"/>
                <w:sz w:val="24"/>
                <w:szCs w:val="24"/>
              </w:rPr>
              <w:t>2、特定资格条件：（1）</w:t>
            </w:r>
            <w:r w:rsidRPr="003D0129">
              <w:rPr>
                <w:rFonts w:ascii="宋体" w:hAnsi="宋体" w:cs="Arial" w:hint="eastAsia"/>
                <w:bCs/>
                <w:sz w:val="24"/>
                <w:szCs w:val="24"/>
              </w:rPr>
              <w:t>企业营业执照包含园林绿化养护相关的经营范围</w:t>
            </w:r>
            <w:r w:rsidRPr="003D0129">
              <w:rPr>
                <w:rFonts w:ascii="宋体" w:hAnsi="宋体" w:cs="宋体" w:hint="eastAsia"/>
                <w:kern w:val="0"/>
                <w:sz w:val="24"/>
                <w:szCs w:val="24"/>
              </w:rPr>
              <w:t>；（2）未被市级及以上绿化行政主管部门限制市场行为的；</w:t>
            </w:r>
          </w:p>
          <w:p w:rsidR="00101DC4" w:rsidRPr="003D0129" w:rsidRDefault="00101DC4" w:rsidP="00DA2B79">
            <w:pPr>
              <w:snapToGrid w:val="0"/>
              <w:spacing w:line="360" w:lineRule="auto"/>
              <w:ind w:firstLineChars="200" w:firstLine="480"/>
              <w:rPr>
                <w:rFonts w:ascii="宋体" w:hAnsi="宋体" w:cs="Arial"/>
                <w:sz w:val="24"/>
                <w:szCs w:val="24"/>
              </w:rPr>
            </w:pPr>
            <w:r w:rsidRPr="003D0129">
              <w:rPr>
                <w:rFonts w:ascii="宋体" w:hAnsi="宋体" w:cs="Arial" w:hint="eastAsia"/>
                <w:sz w:val="24"/>
                <w:szCs w:val="24"/>
              </w:rPr>
              <w:t>3、本项目不接受联合体投标。</w:t>
            </w:r>
          </w:p>
        </w:tc>
      </w:tr>
    </w:tbl>
    <w:p w:rsidR="00101DC4" w:rsidRPr="003D0129" w:rsidRDefault="00101DC4" w:rsidP="00101DC4">
      <w:pPr>
        <w:spacing w:line="360" w:lineRule="auto"/>
        <w:ind w:rightChars="134" w:right="281" w:firstLineChars="200" w:firstLine="482"/>
        <w:rPr>
          <w:rFonts w:ascii="宋体" w:hAnsi="宋体" w:cs="宋体"/>
          <w:b/>
          <w:kern w:val="0"/>
          <w:sz w:val="24"/>
        </w:rPr>
      </w:pPr>
    </w:p>
    <w:p w:rsidR="004507C6" w:rsidRDefault="004507C6"/>
    <w:sectPr w:rsidR="004507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7C6" w:rsidRDefault="004507C6" w:rsidP="00101DC4">
      <w:r>
        <w:separator/>
      </w:r>
    </w:p>
  </w:endnote>
  <w:endnote w:type="continuationSeparator" w:id="1">
    <w:p w:rsidR="004507C6" w:rsidRDefault="004507C6" w:rsidP="00101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C4" w:rsidRDefault="00101DC4">
    <w:pPr>
      <w:pStyle w:val="a4"/>
      <w:jc w:val="center"/>
    </w:pPr>
    <w:fldSimple w:instr=" PAGE   \* MERGEFORMAT ">
      <w:r>
        <w:rPr>
          <w:noProof/>
        </w:rPr>
        <w:t>3</w:t>
      </w:r>
    </w:fldSimple>
  </w:p>
  <w:p w:rsidR="00101DC4" w:rsidRDefault="00101D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7C6" w:rsidRDefault="004507C6" w:rsidP="00101DC4">
      <w:r>
        <w:separator/>
      </w:r>
    </w:p>
  </w:footnote>
  <w:footnote w:type="continuationSeparator" w:id="1">
    <w:p w:rsidR="004507C6" w:rsidRDefault="004507C6" w:rsidP="00101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C4" w:rsidRDefault="00101DC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1DC4"/>
    <w:rsid w:val="00101DC4"/>
    <w:rsid w:val="00450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01D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101DC4"/>
    <w:rPr>
      <w:sz w:val="18"/>
      <w:szCs w:val="18"/>
    </w:rPr>
  </w:style>
  <w:style w:type="paragraph" w:styleId="a4">
    <w:name w:val="footer"/>
    <w:basedOn w:val="a"/>
    <w:link w:val="Char0"/>
    <w:unhideWhenUsed/>
    <w:rsid w:val="00101D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101DC4"/>
    <w:rPr>
      <w:sz w:val="18"/>
      <w:szCs w:val="18"/>
    </w:rPr>
  </w:style>
  <w:style w:type="paragraph" w:styleId="a5">
    <w:name w:val="Title"/>
    <w:basedOn w:val="a"/>
    <w:next w:val="a"/>
    <w:link w:val="Char1"/>
    <w:qFormat/>
    <w:rsid w:val="00101DC4"/>
    <w:pPr>
      <w:spacing w:before="240" w:after="60"/>
      <w:jc w:val="center"/>
      <w:outlineLvl w:val="0"/>
    </w:pPr>
    <w:rPr>
      <w:rFonts w:ascii="Cambria" w:hAnsi="Cambria"/>
      <w:b/>
      <w:bCs/>
      <w:sz w:val="32"/>
      <w:szCs w:val="32"/>
    </w:rPr>
  </w:style>
  <w:style w:type="character" w:customStyle="1" w:styleId="Char1">
    <w:name w:val="标题 Char"/>
    <w:basedOn w:val="a0"/>
    <w:link w:val="a5"/>
    <w:rsid w:val="00101DC4"/>
    <w:rPr>
      <w:rFonts w:ascii="Cambria" w:eastAsia="宋体" w:hAnsi="Cambria" w:cs="Times New Roman"/>
      <w:b/>
      <w:bCs/>
      <w:sz w:val="32"/>
      <w:szCs w:val="32"/>
    </w:rPr>
  </w:style>
  <w:style w:type="paragraph" w:styleId="a6">
    <w:name w:val="Document Map"/>
    <w:basedOn w:val="a"/>
    <w:link w:val="Char2"/>
    <w:uiPriority w:val="99"/>
    <w:semiHidden/>
    <w:unhideWhenUsed/>
    <w:rsid w:val="00101DC4"/>
    <w:rPr>
      <w:rFonts w:ascii="宋体"/>
      <w:sz w:val="18"/>
      <w:szCs w:val="18"/>
    </w:rPr>
  </w:style>
  <w:style w:type="character" w:customStyle="1" w:styleId="Char2">
    <w:name w:val="文档结构图 Char"/>
    <w:basedOn w:val="a0"/>
    <w:link w:val="a6"/>
    <w:uiPriority w:val="99"/>
    <w:semiHidden/>
    <w:rsid w:val="00101DC4"/>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1728</Characters>
  <Application>Microsoft Office Word</Application>
  <DocSecurity>0</DocSecurity>
  <Lines>14</Lines>
  <Paragraphs>4</Paragraphs>
  <ScaleCrop>false</ScaleCrop>
  <Company>P R C</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杭州豪圣建设项目管理有限公司</dc:creator>
  <cp:keywords/>
  <dc:description/>
  <cp:lastModifiedBy>杭州豪圣建设项目管理有限公司</cp:lastModifiedBy>
  <cp:revision>2</cp:revision>
  <dcterms:created xsi:type="dcterms:W3CDTF">2019-12-02T05:02:00Z</dcterms:created>
  <dcterms:modified xsi:type="dcterms:W3CDTF">2019-12-02T05:02:00Z</dcterms:modified>
</cp:coreProperties>
</file>